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jc w:val="center"/>
        <w:outlineLvl w:val="0"/>
        <w:rPr>
          <w:rFonts w:ascii="Times New Roman" w:hAnsi="Times New Roman"/>
          <w:b/>
          <w:bCs/>
          <w:snapToGrid w:val="0"/>
          <w:sz w:val="30"/>
          <w:szCs w:val="30"/>
        </w:rPr>
      </w:pPr>
      <w:r>
        <w:rPr>
          <w:rFonts w:hint="eastAsia" w:ascii="Times New Roman" w:hAnsi="Times New Roman"/>
          <w:b/>
          <w:bCs/>
          <w:snapToGrid w:val="0"/>
          <w:sz w:val="30"/>
          <w:szCs w:val="30"/>
        </w:rPr>
        <w:t>一、建设项目基本情况</w:t>
      </w:r>
    </w:p>
    <w:tbl>
      <w:tblPr>
        <w:tblStyle w:val="26"/>
        <w:tblW w:w="887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23"/>
        <w:gridCol w:w="1796"/>
        <w:gridCol w:w="2072"/>
        <w:gridCol w:w="140"/>
        <w:gridCol w:w="26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建设项目名称</w:t>
            </w:r>
          </w:p>
        </w:tc>
        <w:tc>
          <w:tcPr>
            <w:tcW w:w="6647" w:type="dxa"/>
            <w:gridSpan w:val="4"/>
            <w:vAlign w:val="center"/>
          </w:tcPr>
          <w:p>
            <w:pPr>
              <w:adjustRightInd w:val="0"/>
              <w:snapToGrid w:val="0"/>
              <w:jc w:val="center"/>
              <w:rPr>
                <w:rFonts w:cs="宋体"/>
                <w:sz w:val="24"/>
              </w:rPr>
            </w:pPr>
            <w:r>
              <w:rPr>
                <w:rFonts w:hint="eastAsia" w:cs="宋体"/>
                <w:sz w:val="24"/>
              </w:rPr>
              <w:t>年产8万吨新型材料加工项目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项目代码</w:t>
            </w:r>
          </w:p>
        </w:tc>
        <w:tc>
          <w:tcPr>
            <w:tcW w:w="6647" w:type="dxa"/>
            <w:gridSpan w:val="4"/>
            <w:vAlign w:val="center"/>
          </w:tcPr>
          <w:p>
            <w:pPr>
              <w:adjustRightInd w:val="0"/>
              <w:snapToGrid w:val="0"/>
              <w:jc w:val="center"/>
              <w:rPr>
                <w:rFonts w:cs="宋体"/>
                <w:sz w:val="24"/>
              </w:rPr>
            </w:pPr>
            <w:r>
              <w:rPr>
                <w:rFonts w:hint="eastAsia" w:cs="宋体"/>
                <w:sz w:val="24"/>
              </w:rPr>
              <w:t>2107-410423-04-01-823292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建设单位联系人</w:t>
            </w:r>
          </w:p>
        </w:tc>
        <w:tc>
          <w:tcPr>
            <w:tcW w:w="1796" w:type="dxa"/>
            <w:vAlign w:val="center"/>
          </w:tcPr>
          <w:p>
            <w:pPr>
              <w:adjustRightInd w:val="0"/>
              <w:snapToGrid w:val="0"/>
              <w:jc w:val="center"/>
              <w:rPr>
                <w:rFonts w:cs="宋体"/>
                <w:sz w:val="24"/>
              </w:rPr>
            </w:pPr>
            <w:r>
              <w:rPr>
                <w:rFonts w:hint="eastAsia" w:cs="宋体"/>
                <w:sz w:val="24"/>
              </w:rPr>
              <w:t>熊咏喜</w:t>
            </w:r>
          </w:p>
        </w:tc>
        <w:tc>
          <w:tcPr>
            <w:tcW w:w="2212" w:type="dxa"/>
            <w:gridSpan w:val="2"/>
            <w:vAlign w:val="center"/>
          </w:tcPr>
          <w:p>
            <w:pPr>
              <w:adjustRightInd w:val="0"/>
              <w:snapToGrid w:val="0"/>
              <w:jc w:val="center"/>
              <w:rPr>
                <w:rFonts w:cs="宋体"/>
                <w:color w:val="FF0000"/>
                <w:sz w:val="24"/>
              </w:rPr>
            </w:pPr>
            <w:r>
              <w:rPr>
                <w:rFonts w:hint="eastAsia" w:cs="宋体"/>
                <w:sz w:val="24"/>
              </w:rPr>
              <w:t>联系方式</w:t>
            </w:r>
          </w:p>
        </w:tc>
        <w:tc>
          <w:tcPr>
            <w:tcW w:w="2639" w:type="dxa"/>
            <w:vAlign w:val="center"/>
          </w:tcPr>
          <w:p>
            <w:pPr>
              <w:adjustRightInd w:val="0"/>
              <w:snapToGrid w:val="0"/>
              <w:jc w:val="center"/>
              <w:rPr>
                <w:rFonts w:cs="宋体"/>
                <w:sz w:val="24"/>
              </w:rPr>
            </w:pPr>
            <w:r>
              <w:rPr>
                <w:rFonts w:hint="eastAsia" w:cs="宋体"/>
                <w:sz w:val="24"/>
              </w:rPr>
              <w:t>13271355533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建设地点</w:t>
            </w:r>
          </w:p>
        </w:tc>
        <w:tc>
          <w:tcPr>
            <w:tcW w:w="6647" w:type="dxa"/>
            <w:gridSpan w:val="4"/>
            <w:vAlign w:val="center"/>
          </w:tcPr>
          <w:p>
            <w:pPr>
              <w:adjustRightInd w:val="0"/>
              <w:snapToGrid w:val="0"/>
              <w:jc w:val="center"/>
              <w:rPr>
                <w:rFonts w:cs="宋体"/>
                <w:sz w:val="24"/>
              </w:rPr>
            </w:pPr>
            <w:r>
              <w:rPr>
                <w:rFonts w:hint="eastAsia" w:cs="宋体"/>
                <w:sz w:val="24"/>
                <w:u w:val="single"/>
              </w:rPr>
              <w:t>河南</w:t>
            </w:r>
            <w:r>
              <w:rPr>
                <w:rFonts w:hint="eastAsia" w:cs="宋体"/>
                <w:sz w:val="24"/>
              </w:rPr>
              <w:t>省</w:t>
            </w:r>
            <w:r>
              <w:rPr>
                <w:rFonts w:hint="eastAsia" w:cs="宋体"/>
                <w:sz w:val="24"/>
                <w:u w:val="single"/>
              </w:rPr>
              <w:t>平顶山</w:t>
            </w:r>
            <w:r>
              <w:rPr>
                <w:rFonts w:hint="eastAsia" w:cs="宋体"/>
                <w:sz w:val="24"/>
              </w:rPr>
              <w:t>市</w:t>
            </w:r>
            <w:r>
              <w:rPr>
                <w:rFonts w:hint="eastAsia" w:cs="宋体"/>
                <w:sz w:val="24"/>
                <w:u w:val="single"/>
              </w:rPr>
              <w:t>鲁山</w:t>
            </w:r>
            <w:r>
              <w:rPr>
                <w:rFonts w:hint="eastAsia" w:cs="宋体"/>
                <w:sz w:val="24"/>
              </w:rPr>
              <w:t>县</w:t>
            </w:r>
            <w:r>
              <w:rPr>
                <w:rFonts w:hint="eastAsia" w:cs="宋体"/>
                <w:sz w:val="24"/>
                <w:u w:val="single"/>
              </w:rPr>
              <w:t>产业集聚区北区梁张路与兴工路交叉口北300米路东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地理坐标</w:t>
            </w:r>
          </w:p>
        </w:tc>
        <w:tc>
          <w:tcPr>
            <w:tcW w:w="6647" w:type="dxa"/>
            <w:gridSpan w:val="4"/>
            <w:vAlign w:val="center"/>
          </w:tcPr>
          <w:p>
            <w:pPr>
              <w:jc w:val="center"/>
              <w:rPr>
                <w:sz w:val="24"/>
              </w:rPr>
            </w:pPr>
            <w:r>
              <w:rPr>
                <w:rFonts w:hint="eastAsia"/>
                <w:sz w:val="24"/>
                <w:u w:val="single"/>
              </w:rPr>
              <w:t>112</w:t>
            </w:r>
            <w:r>
              <w:rPr>
                <w:rFonts w:hint="eastAsia"/>
                <w:sz w:val="24"/>
              </w:rPr>
              <w:t>度</w:t>
            </w:r>
            <w:r>
              <w:rPr>
                <w:rFonts w:hint="eastAsia"/>
                <w:sz w:val="24"/>
                <w:u w:val="single"/>
              </w:rPr>
              <w:t>55</w:t>
            </w:r>
            <w:r>
              <w:rPr>
                <w:rFonts w:hint="eastAsia"/>
                <w:sz w:val="24"/>
              </w:rPr>
              <w:t>分</w:t>
            </w:r>
            <w:r>
              <w:rPr>
                <w:rFonts w:hint="eastAsia"/>
                <w:sz w:val="24"/>
                <w:u w:val="single"/>
              </w:rPr>
              <w:t>40.887</w:t>
            </w:r>
            <w:r>
              <w:rPr>
                <w:rFonts w:hint="eastAsia"/>
                <w:sz w:val="24"/>
              </w:rPr>
              <w:t>秒，</w:t>
            </w:r>
            <w:r>
              <w:rPr>
                <w:rFonts w:hint="eastAsia"/>
                <w:sz w:val="24"/>
                <w:u w:val="single"/>
              </w:rPr>
              <w:t>33</w:t>
            </w:r>
            <w:r>
              <w:rPr>
                <w:rFonts w:hint="eastAsia"/>
                <w:sz w:val="24"/>
              </w:rPr>
              <w:t>度</w:t>
            </w:r>
            <w:r>
              <w:rPr>
                <w:rFonts w:hint="eastAsia"/>
                <w:sz w:val="24"/>
                <w:u w:val="single"/>
              </w:rPr>
              <w:t>47</w:t>
            </w:r>
            <w:r>
              <w:rPr>
                <w:rFonts w:hint="eastAsia"/>
                <w:sz w:val="24"/>
              </w:rPr>
              <w:t>分</w:t>
            </w:r>
            <w:r>
              <w:rPr>
                <w:rFonts w:hint="eastAsia"/>
                <w:sz w:val="24"/>
                <w:u w:val="single"/>
              </w:rPr>
              <w:t>42.408</w:t>
            </w:r>
            <w:r>
              <w:rPr>
                <w:rFonts w:hint="eastAsia"/>
                <w:sz w:val="24"/>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国民经济</w:t>
            </w:r>
          </w:p>
          <w:p>
            <w:pPr>
              <w:adjustRightInd w:val="0"/>
              <w:snapToGrid w:val="0"/>
              <w:jc w:val="center"/>
              <w:rPr>
                <w:rFonts w:cs="宋体"/>
                <w:sz w:val="24"/>
              </w:rPr>
            </w:pPr>
            <w:r>
              <w:rPr>
                <w:rFonts w:hint="eastAsia" w:cs="宋体"/>
                <w:sz w:val="24"/>
              </w:rPr>
              <w:t>行业类别</w:t>
            </w:r>
          </w:p>
        </w:tc>
        <w:tc>
          <w:tcPr>
            <w:tcW w:w="1796" w:type="dxa"/>
            <w:vAlign w:val="center"/>
          </w:tcPr>
          <w:p>
            <w:pPr>
              <w:pStyle w:val="7"/>
              <w:spacing w:after="0"/>
              <w:ind w:firstLine="0" w:firstLineChars="0"/>
              <w:rPr>
                <w:rFonts w:cs="宋体"/>
                <w:sz w:val="24"/>
              </w:rPr>
            </w:pPr>
            <w:r>
              <w:rPr>
                <w:rFonts w:hint="eastAsia" w:cs="宋体"/>
                <w:sz w:val="24"/>
              </w:rPr>
              <w:t>C3099其他非金属矿物制品制造</w:t>
            </w:r>
          </w:p>
        </w:tc>
        <w:tc>
          <w:tcPr>
            <w:tcW w:w="2072" w:type="dxa"/>
            <w:vAlign w:val="center"/>
          </w:tcPr>
          <w:p>
            <w:pPr>
              <w:adjustRightInd w:val="0"/>
              <w:snapToGrid w:val="0"/>
              <w:jc w:val="center"/>
              <w:rPr>
                <w:rFonts w:cs="宋体"/>
                <w:sz w:val="24"/>
              </w:rPr>
            </w:pPr>
            <w:bookmarkStart w:id="0" w:name="_Hlk49843745"/>
            <w:r>
              <w:rPr>
                <w:rFonts w:hint="eastAsia" w:cs="宋体"/>
                <w:sz w:val="24"/>
              </w:rPr>
              <w:t>建设项目</w:t>
            </w:r>
          </w:p>
          <w:p>
            <w:pPr>
              <w:adjustRightInd w:val="0"/>
              <w:snapToGrid w:val="0"/>
              <w:jc w:val="center"/>
              <w:rPr>
                <w:rFonts w:cs="宋体"/>
                <w:sz w:val="24"/>
              </w:rPr>
            </w:pPr>
            <w:r>
              <w:rPr>
                <w:rFonts w:hint="eastAsia" w:cs="宋体"/>
                <w:sz w:val="24"/>
              </w:rPr>
              <w:t>行业类别</w:t>
            </w:r>
            <w:bookmarkEnd w:id="0"/>
          </w:p>
        </w:tc>
        <w:tc>
          <w:tcPr>
            <w:tcW w:w="2779" w:type="dxa"/>
            <w:gridSpan w:val="2"/>
            <w:vAlign w:val="center"/>
          </w:tcPr>
          <w:p>
            <w:pPr>
              <w:adjustRightInd w:val="0"/>
              <w:snapToGrid w:val="0"/>
              <w:rPr>
                <w:rFonts w:cs="宋体"/>
                <w:sz w:val="24"/>
              </w:rPr>
            </w:pPr>
            <w:r>
              <w:rPr>
                <w:rFonts w:hint="eastAsia" w:cs="宋体"/>
                <w:sz w:val="24"/>
              </w:rPr>
              <w:t>二十七、非金属矿物制品业30</w:t>
            </w:r>
          </w:p>
          <w:p>
            <w:pPr>
              <w:jc w:val="left"/>
              <w:rPr>
                <w:rFonts w:cs="宋体"/>
                <w:sz w:val="24"/>
              </w:rPr>
            </w:pPr>
            <w:r>
              <w:rPr>
                <w:rFonts w:hint="eastAsia" w:cs="宋体"/>
                <w:sz w:val="24"/>
              </w:rPr>
              <w:t>60</w:t>
            </w:r>
            <w:r>
              <w:rPr>
                <w:rFonts w:hint="eastAsia"/>
                <w:sz w:val="24"/>
              </w:rPr>
              <w:t>耐火材料制品制造308；石墨及其他非金属矿物制品制造309</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建设性质</w:t>
            </w:r>
          </w:p>
        </w:tc>
        <w:tc>
          <w:tcPr>
            <w:tcW w:w="1796" w:type="dxa"/>
            <w:vAlign w:val="center"/>
          </w:tcPr>
          <w:p>
            <w:pPr>
              <w:jc w:val="left"/>
              <w:rPr>
                <w:rFonts w:cs="宋体"/>
                <w:sz w:val="24"/>
              </w:rPr>
            </w:pPr>
            <w:r>
              <w:rPr>
                <w:rFonts w:hint="eastAsia" w:cs="宋体"/>
                <w:sz w:val="24"/>
              </w:rPr>
              <w:sym w:font="Wingdings 2" w:char="0052"/>
            </w:r>
            <w:r>
              <w:rPr>
                <w:rFonts w:hint="eastAsia" w:cs="宋体"/>
                <w:sz w:val="24"/>
              </w:rPr>
              <w:t>新建（迁建）</w:t>
            </w:r>
          </w:p>
          <w:p>
            <w:pPr>
              <w:jc w:val="left"/>
              <w:rPr>
                <w:rFonts w:cs="宋体"/>
                <w:sz w:val="24"/>
              </w:rPr>
            </w:pPr>
            <w:r>
              <w:rPr>
                <w:rFonts w:hint="eastAsia" w:cs="宋体"/>
                <w:sz w:val="24"/>
              </w:rPr>
              <w:t>□改建</w:t>
            </w:r>
          </w:p>
          <w:p>
            <w:pPr>
              <w:jc w:val="left"/>
              <w:rPr>
                <w:rFonts w:cs="宋体"/>
                <w:sz w:val="24"/>
              </w:rPr>
            </w:pPr>
            <w:r>
              <w:rPr>
                <w:rFonts w:hint="eastAsia" w:cs="宋体"/>
                <w:sz w:val="24"/>
              </w:rPr>
              <w:t>□扩建</w:t>
            </w:r>
          </w:p>
          <w:p>
            <w:pPr>
              <w:jc w:val="left"/>
              <w:rPr>
                <w:rFonts w:cs="宋体"/>
                <w:sz w:val="24"/>
              </w:rPr>
            </w:pPr>
            <w:r>
              <w:rPr>
                <w:rFonts w:hint="eastAsia" w:cs="宋体"/>
                <w:sz w:val="24"/>
              </w:rPr>
              <w:t>□技术改造</w:t>
            </w:r>
          </w:p>
        </w:tc>
        <w:tc>
          <w:tcPr>
            <w:tcW w:w="2072" w:type="dxa"/>
            <w:vAlign w:val="center"/>
          </w:tcPr>
          <w:p>
            <w:pPr>
              <w:adjustRightInd w:val="0"/>
              <w:snapToGrid w:val="0"/>
              <w:jc w:val="center"/>
              <w:rPr>
                <w:rFonts w:cs="宋体"/>
                <w:sz w:val="24"/>
              </w:rPr>
            </w:pPr>
            <w:r>
              <w:rPr>
                <w:rFonts w:hint="eastAsia" w:cs="宋体"/>
                <w:sz w:val="24"/>
              </w:rPr>
              <w:t>建设项目</w:t>
            </w:r>
          </w:p>
          <w:p>
            <w:pPr>
              <w:adjustRightInd w:val="0"/>
              <w:snapToGrid w:val="0"/>
              <w:jc w:val="center"/>
              <w:rPr>
                <w:rFonts w:cs="宋体"/>
                <w:sz w:val="24"/>
              </w:rPr>
            </w:pPr>
            <w:r>
              <w:rPr>
                <w:rFonts w:hint="eastAsia" w:cs="宋体"/>
                <w:sz w:val="24"/>
              </w:rPr>
              <w:t>申报情形</w:t>
            </w:r>
          </w:p>
        </w:tc>
        <w:tc>
          <w:tcPr>
            <w:tcW w:w="2779" w:type="dxa"/>
            <w:gridSpan w:val="2"/>
            <w:vAlign w:val="center"/>
          </w:tcPr>
          <w:p>
            <w:pPr>
              <w:jc w:val="left"/>
              <w:rPr>
                <w:rFonts w:cs="宋体"/>
                <w:sz w:val="24"/>
              </w:rPr>
            </w:pPr>
            <w:r>
              <w:rPr>
                <w:rFonts w:hint="eastAsia" w:cs="宋体"/>
                <w:sz w:val="24"/>
              </w:rPr>
              <w:sym w:font="Wingdings 2" w:char="0052"/>
            </w:r>
            <w:r>
              <w:rPr>
                <w:rFonts w:hint="eastAsia" w:cs="宋体"/>
                <w:sz w:val="24"/>
              </w:rPr>
              <w:t>首次申报项目</w:t>
            </w:r>
            <w:r>
              <w:rPr>
                <w:rFonts w:cs="宋体"/>
                <w:sz w:val="24"/>
              </w:rPr>
              <w:t xml:space="preserve">             </w:t>
            </w:r>
          </w:p>
          <w:p>
            <w:pPr>
              <w:jc w:val="left"/>
              <w:rPr>
                <w:rFonts w:cs="宋体"/>
                <w:sz w:val="24"/>
              </w:rPr>
            </w:pPr>
            <w:r>
              <w:rPr>
                <w:rFonts w:hint="eastAsia" w:cs="宋体"/>
                <w:sz w:val="24"/>
              </w:rPr>
              <w:t>□不予批准后再次申报项目</w:t>
            </w:r>
          </w:p>
          <w:p>
            <w:pPr>
              <w:jc w:val="left"/>
              <w:rPr>
                <w:rFonts w:cs="宋体"/>
                <w:sz w:val="24"/>
              </w:rPr>
            </w:pPr>
            <w:r>
              <w:rPr>
                <w:rFonts w:hint="eastAsia" w:cs="宋体"/>
                <w:sz w:val="24"/>
              </w:rPr>
              <w:sym w:font="Wingdings 2" w:char="00A3"/>
            </w:r>
            <w:r>
              <w:rPr>
                <w:rFonts w:hint="eastAsia" w:cs="宋体"/>
                <w:sz w:val="24"/>
              </w:rPr>
              <w:t>超五年重新审核项目</w:t>
            </w:r>
            <w:r>
              <w:rPr>
                <w:rFonts w:cs="宋体"/>
                <w:sz w:val="24"/>
              </w:rPr>
              <w:t xml:space="preserve">     </w:t>
            </w:r>
          </w:p>
          <w:p>
            <w:pPr>
              <w:jc w:val="left"/>
              <w:rPr>
                <w:rFonts w:cs="宋体"/>
                <w:sz w:val="24"/>
              </w:rPr>
            </w:pPr>
            <w:r>
              <w:rPr>
                <w:rFonts w:hint="eastAsia" w:cs="宋体"/>
                <w:sz w:val="24"/>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项目审批（核准</w:t>
            </w:r>
            <w:r>
              <w:rPr>
                <w:rFonts w:cs="宋体"/>
                <w:sz w:val="24"/>
              </w:rPr>
              <w:t>/</w:t>
            </w:r>
          </w:p>
          <w:p>
            <w:pPr>
              <w:adjustRightInd w:val="0"/>
              <w:snapToGrid w:val="0"/>
              <w:jc w:val="center"/>
              <w:rPr>
                <w:rFonts w:cs="宋体"/>
                <w:sz w:val="24"/>
              </w:rPr>
            </w:pPr>
            <w:r>
              <w:rPr>
                <w:rFonts w:hint="eastAsia" w:cs="宋体"/>
                <w:sz w:val="24"/>
              </w:rPr>
              <w:t>备案）部门（选填）</w:t>
            </w:r>
          </w:p>
        </w:tc>
        <w:tc>
          <w:tcPr>
            <w:tcW w:w="1796" w:type="dxa"/>
            <w:vAlign w:val="center"/>
          </w:tcPr>
          <w:p>
            <w:pPr>
              <w:adjustRightInd w:val="0"/>
              <w:snapToGrid w:val="0"/>
              <w:jc w:val="center"/>
              <w:rPr>
                <w:rFonts w:cs="宋体"/>
                <w:sz w:val="24"/>
              </w:rPr>
            </w:pPr>
            <w:r>
              <w:rPr>
                <w:rFonts w:hint="eastAsia" w:cs="宋体"/>
                <w:sz w:val="24"/>
              </w:rPr>
              <w:t>鲁山县</w:t>
            </w:r>
            <w:r>
              <w:rPr>
                <w:rFonts w:hint="eastAsia" w:cs="宋体"/>
                <w:sz w:val="24"/>
                <w:lang w:val="en-US" w:eastAsia="zh-CN"/>
              </w:rPr>
              <w:t>产业集聚区管理委员会</w:t>
            </w:r>
          </w:p>
        </w:tc>
        <w:tc>
          <w:tcPr>
            <w:tcW w:w="2072" w:type="dxa"/>
            <w:vAlign w:val="center"/>
          </w:tcPr>
          <w:p>
            <w:pPr>
              <w:adjustRightInd w:val="0"/>
              <w:snapToGrid w:val="0"/>
              <w:jc w:val="center"/>
              <w:rPr>
                <w:rFonts w:cs="宋体"/>
                <w:sz w:val="24"/>
              </w:rPr>
            </w:pPr>
            <w:r>
              <w:rPr>
                <w:rFonts w:hint="eastAsia" w:cs="宋体"/>
                <w:sz w:val="24"/>
              </w:rPr>
              <w:t>项目审批（核准</w:t>
            </w:r>
            <w:r>
              <w:rPr>
                <w:rFonts w:cs="宋体"/>
                <w:sz w:val="24"/>
              </w:rPr>
              <w:t>/</w:t>
            </w:r>
          </w:p>
          <w:p>
            <w:pPr>
              <w:adjustRightInd w:val="0"/>
              <w:snapToGrid w:val="0"/>
              <w:jc w:val="center"/>
              <w:rPr>
                <w:rFonts w:cs="宋体"/>
                <w:sz w:val="24"/>
              </w:rPr>
            </w:pPr>
            <w:r>
              <w:rPr>
                <w:rFonts w:hint="eastAsia" w:cs="宋体"/>
                <w:sz w:val="24"/>
              </w:rPr>
              <w:t>备案）文号（选填）</w:t>
            </w:r>
          </w:p>
        </w:tc>
        <w:tc>
          <w:tcPr>
            <w:tcW w:w="2779" w:type="dxa"/>
            <w:gridSpan w:val="2"/>
            <w:vAlign w:val="center"/>
          </w:tcPr>
          <w:p>
            <w:pPr>
              <w:adjustRightInd w:val="0"/>
              <w:snapToGrid w:val="0"/>
              <w:jc w:val="center"/>
              <w:rPr>
                <w:rFonts w:cs="宋体"/>
                <w:sz w:val="24"/>
              </w:rPr>
            </w:pPr>
            <w:r>
              <w:rPr>
                <w:rFonts w:hint="eastAsia" w:cs="宋体"/>
                <w:sz w:val="24"/>
              </w:rPr>
              <w:t>2107-410423-04-01-823292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总投资（万元）</w:t>
            </w:r>
          </w:p>
        </w:tc>
        <w:tc>
          <w:tcPr>
            <w:tcW w:w="1796" w:type="dxa"/>
            <w:vAlign w:val="center"/>
          </w:tcPr>
          <w:p>
            <w:pPr>
              <w:adjustRightInd w:val="0"/>
              <w:snapToGrid w:val="0"/>
              <w:jc w:val="center"/>
              <w:rPr>
                <w:rFonts w:cs="宋体"/>
                <w:sz w:val="24"/>
              </w:rPr>
            </w:pPr>
            <w:r>
              <w:rPr>
                <w:rFonts w:hint="eastAsia" w:cs="宋体"/>
                <w:sz w:val="24"/>
              </w:rPr>
              <w:t>28000</w:t>
            </w:r>
          </w:p>
        </w:tc>
        <w:tc>
          <w:tcPr>
            <w:tcW w:w="2072" w:type="dxa"/>
            <w:tcMar>
              <w:top w:w="16" w:type="dxa"/>
              <w:left w:w="16" w:type="dxa"/>
              <w:right w:w="16" w:type="dxa"/>
            </w:tcMar>
            <w:vAlign w:val="center"/>
          </w:tcPr>
          <w:p>
            <w:pPr>
              <w:adjustRightInd w:val="0"/>
              <w:snapToGrid w:val="0"/>
              <w:jc w:val="center"/>
              <w:rPr>
                <w:rFonts w:cs="宋体"/>
                <w:sz w:val="24"/>
              </w:rPr>
            </w:pPr>
            <w:r>
              <w:rPr>
                <w:rFonts w:hint="eastAsia" w:cs="宋体"/>
                <w:sz w:val="24"/>
              </w:rPr>
              <w:t>环保投资（万元）</w:t>
            </w:r>
          </w:p>
        </w:tc>
        <w:tc>
          <w:tcPr>
            <w:tcW w:w="2779" w:type="dxa"/>
            <w:gridSpan w:val="2"/>
            <w:vAlign w:val="center"/>
          </w:tcPr>
          <w:p>
            <w:pPr>
              <w:adjustRightInd w:val="0"/>
              <w:snapToGrid w:val="0"/>
              <w:jc w:val="center"/>
              <w:rPr>
                <w:rFonts w:hint="eastAsia" w:eastAsia="宋体" w:cs="宋体"/>
                <w:sz w:val="24"/>
                <w:lang w:val="en-US" w:eastAsia="zh-CN"/>
              </w:rPr>
            </w:pPr>
            <w:r>
              <w:rPr>
                <w:rFonts w:hint="eastAsia" w:cs="宋体"/>
                <w:color w:val="auto"/>
                <w:sz w:val="24"/>
                <w:lang w:val="en-US" w:eastAsia="zh-CN"/>
              </w:rPr>
              <w:t>162.5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环保投资占比（</w:t>
            </w:r>
            <w:r>
              <w:rPr>
                <w:rFonts w:cs="宋体"/>
                <w:sz w:val="24"/>
              </w:rPr>
              <w:t>%</w:t>
            </w:r>
            <w:r>
              <w:rPr>
                <w:rFonts w:hint="eastAsia" w:cs="宋体"/>
                <w:sz w:val="24"/>
              </w:rPr>
              <w:t>）</w:t>
            </w:r>
          </w:p>
        </w:tc>
        <w:tc>
          <w:tcPr>
            <w:tcW w:w="1796" w:type="dxa"/>
            <w:vAlign w:val="center"/>
          </w:tcPr>
          <w:p>
            <w:pPr>
              <w:adjustRightInd w:val="0"/>
              <w:snapToGrid w:val="0"/>
              <w:jc w:val="center"/>
              <w:rPr>
                <w:rFonts w:hint="eastAsia" w:eastAsia="宋体" w:cs="宋体"/>
                <w:sz w:val="24"/>
                <w:lang w:val="en-US" w:eastAsia="zh-CN"/>
              </w:rPr>
            </w:pPr>
            <w:r>
              <w:rPr>
                <w:rFonts w:hint="eastAsia" w:cs="宋体"/>
                <w:color w:val="auto"/>
                <w:sz w:val="24"/>
                <w:lang w:val="en-US" w:eastAsia="zh-CN"/>
              </w:rPr>
              <w:t>0.58</w:t>
            </w:r>
          </w:p>
        </w:tc>
        <w:tc>
          <w:tcPr>
            <w:tcW w:w="2072" w:type="dxa"/>
            <w:tcMar>
              <w:top w:w="16" w:type="dxa"/>
              <w:left w:w="16" w:type="dxa"/>
              <w:right w:w="16" w:type="dxa"/>
            </w:tcMar>
            <w:vAlign w:val="center"/>
          </w:tcPr>
          <w:p>
            <w:pPr>
              <w:adjustRightInd w:val="0"/>
              <w:snapToGrid w:val="0"/>
              <w:jc w:val="center"/>
              <w:rPr>
                <w:rFonts w:cs="宋体"/>
                <w:sz w:val="24"/>
              </w:rPr>
            </w:pPr>
            <w:r>
              <w:rPr>
                <w:rFonts w:hint="eastAsia" w:cs="宋体"/>
                <w:sz w:val="24"/>
              </w:rPr>
              <w:t>施工工期</w:t>
            </w:r>
          </w:p>
        </w:tc>
        <w:tc>
          <w:tcPr>
            <w:tcW w:w="2779" w:type="dxa"/>
            <w:gridSpan w:val="2"/>
            <w:vAlign w:val="center"/>
          </w:tcPr>
          <w:p>
            <w:pPr>
              <w:adjustRightInd w:val="0"/>
              <w:snapToGrid w:val="0"/>
              <w:jc w:val="center"/>
              <w:rPr>
                <w:rFonts w:cs="宋体"/>
                <w:sz w:val="24"/>
              </w:rPr>
            </w:pPr>
            <w:r>
              <w:rPr>
                <w:rFonts w:hint="eastAsia" w:cs="宋体"/>
                <w:sz w:val="24"/>
              </w:rPr>
              <w:t>2个月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Ex>
        <w:trPr>
          <w:trHeight w:val="624" w:hRule="atLeast"/>
          <w:jc w:val="center"/>
        </w:trPr>
        <w:tc>
          <w:tcPr>
            <w:tcW w:w="2223" w:type="dxa"/>
            <w:tcMar>
              <w:top w:w="16" w:type="dxa"/>
              <w:left w:w="16" w:type="dxa"/>
              <w:right w:w="16" w:type="dxa"/>
            </w:tcMar>
            <w:vAlign w:val="center"/>
          </w:tcPr>
          <w:p>
            <w:pPr>
              <w:adjustRightInd w:val="0"/>
              <w:snapToGrid w:val="0"/>
              <w:jc w:val="center"/>
              <w:rPr>
                <w:rFonts w:cs="宋体"/>
                <w:sz w:val="24"/>
              </w:rPr>
            </w:pPr>
            <w:r>
              <w:rPr>
                <w:rFonts w:hint="eastAsia" w:cs="宋体"/>
                <w:sz w:val="24"/>
              </w:rPr>
              <w:t>是否开工建设</w:t>
            </w:r>
          </w:p>
        </w:tc>
        <w:tc>
          <w:tcPr>
            <w:tcW w:w="1796" w:type="dxa"/>
            <w:vAlign w:val="center"/>
          </w:tcPr>
          <w:p>
            <w:pPr>
              <w:adjustRightInd w:val="0"/>
              <w:snapToGrid w:val="0"/>
              <w:rPr>
                <w:rFonts w:cs="宋体"/>
                <w:sz w:val="24"/>
              </w:rPr>
            </w:pPr>
            <w:r>
              <w:rPr>
                <w:rFonts w:hint="eastAsia" w:cs="宋体"/>
                <w:sz w:val="24"/>
              </w:rPr>
              <w:sym w:font="Wingdings 2" w:char="0052"/>
            </w:r>
            <w:r>
              <w:rPr>
                <w:rFonts w:hint="eastAsia" w:cs="宋体"/>
                <w:sz w:val="24"/>
              </w:rPr>
              <w:t>否</w:t>
            </w:r>
          </w:p>
          <w:p>
            <w:pPr>
              <w:adjustRightInd w:val="0"/>
              <w:snapToGrid w:val="0"/>
              <w:rPr>
                <w:rFonts w:cs="宋体"/>
                <w:sz w:val="24"/>
              </w:rPr>
            </w:pPr>
            <w:r>
              <w:rPr>
                <w:rFonts w:hint="eastAsia" w:cs="宋体"/>
                <w:sz w:val="24"/>
              </w:rPr>
              <w:sym w:font="Wingdings 2" w:char="00A3"/>
            </w:r>
            <w:r>
              <w:rPr>
                <w:rFonts w:hint="eastAsia" w:cs="宋体"/>
                <w:sz w:val="24"/>
              </w:rPr>
              <w:t>是：</w:t>
            </w:r>
            <w:r>
              <w:rPr>
                <w:rFonts w:hint="eastAsia" w:cs="宋体"/>
                <w:sz w:val="24"/>
                <w:u w:val="single"/>
              </w:rPr>
              <w:t xml:space="preserve">             </w:t>
            </w:r>
          </w:p>
        </w:tc>
        <w:tc>
          <w:tcPr>
            <w:tcW w:w="2072" w:type="dxa"/>
            <w:tcMar>
              <w:top w:w="16" w:type="dxa"/>
              <w:left w:w="16" w:type="dxa"/>
              <w:right w:w="16" w:type="dxa"/>
            </w:tcMar>
            <w:vAlign w:val="center"/>
          </w:tcPr>
          <w:p>
            <w:pPr>
              <w:adjustRightInd w:val="0"/>
              <w:snapToGrid w:val="0"/>
              <w:jc w:val="center"/>
              <w:rPr>
                <w:rFonts w:cs="宋体"/>
                <w:spacing w:val="-6"/>
                <w:sz w:val="24"/>
              </w:rPr>
            </w:pPr>
            <w:r>
              <w:rPr>
                <w:rFonts w:hint="eastAsia" w:cs="宋体"/>
                <w:spacing w:val="-6"/>
                <w:sz w:val="24"/>
              </w:rPr>
              <w:t>用地（用海）</w:t>
            </w:r>
          </w:p>
          <w:p>
            <w:pPr>
              <w:adjustRightInd w:val="0"/>
              <w:snapToGrid w:val="0"/>
              <w:jc w:val="center"/>
              <w:rPr>
                <w:rFonts w:cs="宋体"/>
                <w:sz w:val="24"/>
              </w:rPr>
            </w:pPr>
            <w:r>
              <w:rPr>
                <w:rFonts w:hint="eastAsia" w:cs="宋体"/>
                <w:spacing w:val="-6"/>
                <w:sz w:val="24"/>
              </w:rPr>
              <w:t>面积（</w:t>
            </w:r>
            <w:r>
              <w:rPr>
                <w:rFonts w:cs="宋体"/>
                <w:spacing w:val="-6"/>
                <w:sz w:val="24"/>
              </w:rPr>
              <w:t>m</w:t>
            </w:r>
            <w:r>
              <w:rPr>
                <w:rFonts w:cs="宋体"/>
                <w:spacing w:val="-6"/>
                <w:sz w:val="24"/>
                <w:vertAlign w:val="superscript"/>
              </w:rPr>
              <w:t>2</w:t>
            </w:r>
            <w:r>
              <w:rPr>
                <w:rFonts w:hint="eastAsia" w:cs="宋体"/>
                <w:spacing w:val="-6"/>
                <w:sz w:val="24"/>
              </w:rPr>
              <w:t>）</w:t>
            </w:r>
          </w:p>
        </w:tc>
        <w:tc>
          <w:tcPr>
            <w:tcW w:w="2779" w:type="dxa"/>
            <w:gridSpan w:val="2"/>
            <w:vAlign w:val="center"/>
          </w:tcPr>
          <w:p>
            <w:pPr>
              <w:adjustRightInd w:val="0"/>
              <w:snapToGrid w:val="0"/>
              <w:jc w:val="center"/>
              <w:rPr>
                <w:rFonts w:hint="eastAsia" w:eastAsia="宋体" w:cs="宋体"/>
                <w:sz w:val="24"/>
                <w:lang w:val="en-US" w:eastAsia="zh-CN"/>
              </w:rPr>
            </w:pPr>
            <w:r>
              <w:rPr>
                <w:rFonts w:hint="eastAsia" w:cs="宋体"/>
                <w:sz w:val="24"/>
                <w:highlight w:val="none"/>
                <w:lang w:val="en-US" w:eastAsia="zh-CN"/>
              </w:rPr>
              <w:t>54400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223" w:type="dxa"/>
            <w:vAlign w:val="center"/>
          </w:tcPr>
          <w:p>
            <w:pPr>
              <w:autoSpaceDE w:val="0"/>
              <w:autoSpaceDN w:val="0"/>
              <w:adjustRightInd w:val="0"/>
              <w:snapToGrid w:val="0"/>
              <w:jc w:val="center"/>
              <w:rPr>
                <w:rFonts w:cs="宋体"/>
                <w:kern w:val="0"/>
                <w:sz w:val="24"/>
              </w:rPr>
            </w:pPr>
            <w:r>
              <w:rPr>
                <w:rFonts w:hint="eastAsia" w:cs="宋体"/>
                <w:kern w:val="0"/>
                <w:sz w:val="24"/>
              </w:rPr>
              <w:t>专项评价设置情况</w:t>
            </w:r>
          </w:p>
        </w:tc>
        <w:tc>
          <w:tcPr>
            <w:tcW w:w="6647" w:type="dxa"/>
            <w:gridSpan w:val="4"/>
            <w:vAlign w:val="center"/>
          </w:tcPr>
          <w:p>
            <w:pPr>
              <w:autoSpaceDE w:val="0"/>
              <w:autoSpaceDN w:val="0"/>
              <w:adjustRightInd w:val="0"/>
              <w:snapToGrid w:val="0"/>
              <w:jc w:val="center"/>
              <w:rPr>
                <w:rFonts w:hint="eastAsia" w:eastAsia="宋体"/>
                <w:lang w:val="en-US" w:eastAsia="zh-CN"/>
              </w:rPr>
            </w:pPr>
            <w:r>
              <w:rPr>
                <w:rFonts w:hint="eastAsia" w:cs="宋体"/>
                <w:sz w:val="24"/>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223" w:type="dxa"/>
            <w:vAlign w:val="center"/>
          </w:tcPr>
          <w:p>
            <w:pPr>
              <w:autoSpaceDE w:val="0"/>
              <w:autoSpaceDN w:val="0"/>
              <w:adjustRightInd w:val="0"/>
              <w:snapToGrid w:val="0"/>
              <w:jc w:val="center"/>
              <w:rPr>
                <w:rFonts w:cs="宋体"/>
                <w:kern w:val="0"/>
                <w:sz w:val="24"/>
              </w:rPr>
            </w:pPr>
            <w:r>
              <w:rPr>
                <w:rFonts w:hint="eastAsia" w:cs="宋体"/>
                <w:sz w:val="24"/>
              </w:rPr>
              <w:t>规划情况</w:t>
            </w:r>
          </w:p>
        </w:tc>
        <w:tc>
          <w:tcPr>
            <w:tcW w:w="6647" w:type="dxa"/>
            <w:gridSpan w:val="4"/>
            <w:vAlign w:val="center"/>
          </w:tcPr>
          <w:p>
            <w:pPr>
              <w:widowControl/>
              <w:spacing w:line="420" w:lineRule="atLeast"/>
              <w:jc w:val="center"/>
              <w:rPr>
                <w:rFonts w:cs="宋体"/>
                <w:kern w:val="0"/>
                <w:sz w:val="24"/>
                <w:highlight w:val="yellow"/>
              </w:rPr>
            </w:pPr>
            <w:r>
              <w:rPr>
                <w:rFonts w:hint="eastAsia" w:cs="宋体"/>
                <w:sz w:val="24"/>
              </w:rPr>
              <w:t>《鲁山县产业集聚区空间规划（2014-2020）》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223" w:type="dxa"/>
            <w:vAlign w:val="center"/>
          </w:tcPr>
          <w:p>
            <w:pPr>
              <w:adjustRightInd w:val="0"/>
              <w:snapToGrid w:val="0"/>
              <w:jc w:val="center"/>
              <w:rPr>
                <w:rFonts w:cs="宋体"/>
                <w:sz w:val="24"/>
              </w:rPr>
            </w:pPr>
            <w:r>
              <w:rPr>
                <w:rFonts w:hint="eastAsia" w:cs="宋体"/>
                <w:sz w:val="24"/>
              </w:rPr>
              <w:t>规划环境影响</w:t>
            </w:r>
          </w:p>
          <w:p>
            <w:pPr>
              <w:adjustRightInd w:val="0"/>
              <w:snapToGrid w:val="0"/>
              <w:jc w:val="center"/>
              <w:rPr>
                <w:rFonts w:cs="宋体"/>
                <w:kern w:val="0"/>
                <w:sz w:val="24"/>
              </w:rPr>
            </w:pPr>
            <w:r>
              <w:rPr>
                <w:rFonts w:hint="eastAsia" w:cs="宋体"/>
                <w:sz w:val="24"/>
              </w:rPr>
              <w:t>评价情况</w:t>
            </w:r>
          </w:p>
        </w:tc>
        <w:tc>
          <w:tcPr>
            <w:tcW w:w="6647"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auto"/>
              <w:outlineLvl w:val="9"/>
              <w:rPr>
                <w:rFonts w:hint="eastAsia" w:eastAsia="宋体" w:cs="宋体"/>
                <w:kern w:val="0"/>
                <w:sz w:val="24"/>
                <w:highlight w:val="yellow"/>
                <w:lang w:val="en-US" w:eastAsia="zh-CN"/>
              </w:rPr>
            </w:pPr>
            <w:r>
              <w:rPr>
                <w:rFonts w:hint="eastAsia" w:cs="宋体"/>
                <w:kern w:val="0"/>
                <w:sz w:val="24"/>
                <w:lang w:val="en-US" w:eastAsia="zh-CN"/>
              </w:rPr>
              <w:t>2016年7月由南京国环环境科技发展股份有限公司编制完成了</w:t>
            </w:r>
            <w:r>
              <w:rPr>
                <w:rFonts w:hint="eastAsia" w:cs="宋体"/>
                <w:kern w:val="0"/>
                <w:sz w:val="24"/>
              </w:rPr>
              <w:t>《鲁山县产业集聚区空间规划（2014-2020）环境影响报告书》</w:t>
            </w:r>
            <w:r>
              <w:rPr>
                <w:rFonts w:hint="eastAsia" w:cs="宋体"/>
                <w:kern w:val="0"/>
                <w:sz w:val="24"/>
                <w:lang w:eastAsia="zh-CN"/>
              </w:rPr>
              <w:t>，</w:t>
            </w:r>
            <w:r>
              <w:rPr>
                <w:rFonts w:hint="eastAsia" w:cs="宋体"/>
                <w:kern w:val="0"/>
                <w:sz w:val="24"/>
                <w:lang w:val="en-US" w:eastAsia="zh-CN"/>
              </w:rPr>
              <w:t>并取得了平顶山市环境保护局的批复，批复文号：平环监表[2016]20号。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223" w:type="dxa"/>
            <w:vAlign w:val="center"/>
          </w:tcPr>
          <w:p>
            <w:pPr>
              <w:autoSpaceDE w:val="0"/>
              <w:autoSpaceDN w:val="0"/>
              <w:adjustRightInd w:val="0"/>
              <w:snapToGrid w:val="0"/>
              <w:jc w:val="center"/>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autoSpaceDE w:val="0"/>
              <w:autoSpaceDN w:val="0"/>
              <w:adjustRightInd w:val="0"/>
              <w:snapToGrid w:val="0"/>
              <w:jc w:val="center"/>
              <w:rPr>
                <w:rFonts w:cs="宋体"/>
                <w:sz w:val="24"/>
              </w:rPr>
            </w:pPr>
            <w:r>
              <w:rPr>
                <w:rFonts w:hint="eastAsia" w:cs="宋体"/>
                <w:sz w:val="24"/>
              </w:rPr>
              <w:t>规划及规划环境影响评价符合性分析</w:t>
            </w: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pStyle w:val="15"/>
              <w:rPr>
                <w:rFonts w:cs="宋体"/>
                <w:kern w:val="0"/>
                <w:sz w:val="24"/>
              </w:rPr>
            </w:pPr>
          </w:p>
          <w:p>
            <w:pPr>
              <w:autoSpaceDE w:val="0"/>
              <w:autoSpaceDN w:val="0"/>
              <w:adjustRightInd w:val="0"/>
              <w:snapToGrid w:val="0"/>
              <w:jc w:val="center"/>
              <w:rPr>
                <w:rFonts w:cs="宋体"/>
                <w:kern w:val="0"/>
                <w:sz w:val="24"/>
              </w:rPr>
            </w:pPr>
            <w:r>
              <w:rPr>
                <w:rFonts w:hint="eastAsia" w:cs="宋体"/>
                <w:kern w:val="0"/>
                <w:sz w:val="24"/>
              </w:rPr>
              <w:t>规划及规划环境影响评价符合性分析</w:t>
            </w: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autoSpaceDE w:val="0"/>
              <w:autoSpaceDN w:val="0"/>
              <w:adjustRightInd w:val="0"/>
              <w:snapToGrid w:val="0"/>
              <w:jc w:val="center"/>
              <w:rPr>
                <w:rFonts w:cs="宋体"/>
                <w:kern w:val="0"/>
                <w:sz w:val="24"/>
              </w:rPr>
            </w:pPr>
            <w:r>
              <w:rPr>
                <w:rFonts w:hint="eastAsia" w:cs="宋体"/>
                <w:kern w:val="0"/>
                <w:sz w:val="24"/>
              </w:rPr>
              <w:t>规划及规划环境影响评价符合性分析</w:t>
            </w: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p>
            <w:pPr>
              <w:pStyle w:val="15"/>
              <w:jc w:val="center"/>
              <w:rPr>
                <w:rFonts w:cs="宋体"/>
                <w:kern w:val="0"/>
                <w:sz w:val="24"/>
              </w:rPr>
            </w:pPr>
          </w:p>
        </w:tc>
        <w:tc>
          <w:tcPr>
            <w:tcW w:w="6647" w:type="dxa"/>
            <w:gridSpan w:val="4"/>
            <w:vAlign w:val="center"/>
          </w:tcPr>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（1）鲁山县产业集聚区</w:t>
            </w:r>
            <w:r>
              <w:rPr>
                <w:rFonts w:hint="eastAsia" w:cs="宋体"/>
                <w:kern w:val="0"/>
                <w:sz w:val="24"/>
                <w:lang w:val="en-US" w:eastAsia="zh-CN"/>
              </w:rPr>
              <w:t>规划</w:t>
            </w:r>
            <w:r>
              <w:rPr>
                <w:rFonts w:hint="eastAsia" w:cs="宋体"/>
                <w:kern w:val="0"/>
                <w:sz w:val="24"/>
              </w:rPr>
              <w:t>范围</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规划范围包括北部片区和南部片区两个组团，总规划面积为1633公顷。</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北部片区：分成两个片区，分别位于县城东北部和西北部。北片区一西至青年路，南至同盟路，北至福海路，东至福海东路；北片区二西至梁张路，南至同盟路，北至建工路，东至建设路。北片区规划面积为853.24公顷。</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南部片区：位于鲁山县城东部，北临人民路，东至牛郎路，西至鲁兴路，南至鲁平大道，规划面积779.76公顷。</w:t>
            </w:r>
          </w:p>
          <w:p>
            <w:pPr>
              <w:autoSpaceDE w:val="0"/>
              <w:autoSpaceDN w:val="0"/>
              <w:adjustRightInd w:val="0"/>
              <w:snapToGrid w:val="0"/>
              <w:spacing w:line="360" w:lineRule="auto"/>
              <w:ind w:firstLine="480" w:firstLineChars="200"/>
              <w:rPr>
                <w:rFonts w:hint="eastAsia" w:cs="宋体"/>
                <w:kern w:val="0"/>
                <w:sz w:val="24"/>
                <w:lang w:val="en-US" w:eastAsia="zh-CN"/>
              </w:rPr>
            </w:pPr>
            <w:r>
              <w:rPr>
                <w:rFonts w:hint="eastAsia" w:cs="宋体"/>
                <w:kern w:val="0"/>
                <w:sz w:val="24"/>
                <w:lang w:val="en-US" w:eastAsia="zh-CN"/>
              </w:rPr>
              <w:t>本项目位于产业集聚区北部片区。</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（2）规划期限</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规划期限为2014-2020年；其中，近期为2014-2017年，远期为2018-2020年。</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（3）主导产业</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电子信息产业（智能终端产品为主）、非金属矿物制品（耐火材料、天然石材制品为主）、轻纺产业（加工组装类终端产品为主）作为鲁山县产业集聚区的主导产业。</w:t>
            </w:r>
          </w:p>
          <w:p>
            <w:pPr>
              <w:autoSpaceDE w:val="0"/>
              <w:autoSpaceDN w:val="0"/>
              <w:adjustRightInd w:val="0"/>
              <w:snapToGrid w:val="0"/>
              <w:spacing w:line="360" w:lineRule="auto"/>
              <w:ind w:firstLine="480" w:firstLineChars="200"/>
              <w:rPr>
                <w:rFonts w:hint="eastAsia" w:cs="宋体"/>
                <w:kern w:val="0"/>
                <w:sz w:val="24"/>
                <w:lang w:val="en-US" w:eastAsia="zh-CN"/>
              </w:rPr>
            </w:pPr>
            <w:r>
              <w:rPr>
                <w:rFonts w:hint="eastAsia" w:cs="宋体"/>
                <w:kern w:val="0"/>
                <w:sz w:val="24"/>
                <w:lang w:val="en-US" w:eastAsia="zh-CN"/>
              </w:rPr>
              <w:t>本项目产品为釉用新材料，属于非金属矿物制品业，为集聚区的主导产业。</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（4）空间布局</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将鲁山县产业集聚区划分为五个产业园：非金属矿物制品产业区、标准化厂房区、轻纺产业区、电子信息产业区、配套生活区。</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非金属矿物制品产业区：人民路以北区域，规划面积为8.3平方公里。重点发展新型墙体材料行业、耐火建材产业、矿物质深加工等。</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纺织产业亚园区：鲁兴路以东、织女路和新兴路以西、泰山路以北规划为轻纺产业区，规划面积为2.14平方公里。重点发展纺织服装工业、旅游产品等产业。</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电子信息产业亚园区：新兴路以东、泰山路以北、牛郎路以西、光明路以南区域以及迎宾大道以东、人民路以南、泰山路以北、牛郎路以西区域规划为电子信息产业亚园区，规划面积为3.74平方公里。重点发展智能终端产品。</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标准化厂房区：兴工路与纬三路区域规划为标准化厂房区，规划面积为0.28平方公里。</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配套生活区：兴国路与同盟路之间、中州路与人民路之间、鲁兴路与鲁平大道之间以及创业大道与人民路之间区域规划为配套生活区，规划面积为1.84平方公里。</w:t>
            </w:r>
          </w:p>
          <w:p>
            <w:pPr>
              <w:autoSpaceDE w:val="0"/>
              <w:autoSpaceDN w:val="0"/>
              <w:adjustRightInd w:val="0"/>
              <w:snapToGrid w:val="0"/>
              <w:spacing w:line="360" w:lineRule="auto"/>
              <w:ind w:firstLine="480" w:firstLineChars="200"/>
              <w:rPr>
                <w:rFonts w:hint="eastAsia" w:cs="宋体"/>
                <w:kern w:val="0"/>
                <w:sz w:val="24"/>
                <w:lang w:val="en-US" w:eastAsia="zh-CN"/>
              </w:rPr>
            </w:pPr>
            <w:r>
              <w:rPr>
                <w:rFonts w:hint="eastAsia" w:cs="宋体"/>
                <w:kern w:val="0"/>
                <w:sz w:val="24"/>
                <w:lang w:val="en-US" w:eastAsia="zh-CN"/>
              </w:rPr>
              <w:t>本项目位于集聚区非金属矿物制品产业区，详见附图五。</w:t>
            </w:r>
          </w:p>
          <w:p>
            <w:pPr>
              <w:numPr>
                <w:ilvl w:val="0"/>
                <w:numId w:val="1"/>
              </w:num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工业用地规划</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规划一类工业用地227.64hm</w:t>
            </w:r>
            <w:r>
              <w:rPr>
                <w:rFonts w:hint="eastAsia" w:cs="宋体"/>
                <w:kern w:val="0"/>
                <w:sz w:val="24"/>
                <w:vertAlign w:val="superscript"/>
              </w:rPr>
              <w:t>2</w:t>
            </w:r>
            <w:r>
              <w:rPr>
                <w:rFonts w:hint="eastAsia" w:cs="宋体"/>
                <w:kern w:val="0"/>
                <w:sz w:val="24"/>
              </w:rPr>
              <w:t>，占总规划用地面积的14.17%，主要位于大浪河的东侧；二类工业用地485.78hm</w:t>
            </w:r>
            <w:r>
              <w:rPr>
                <w:rFonts w:hint="eastAsia" w:cs="宋体"/>
                <w:kern w:val="0"/>
                <w:sz w:val="24"/>
                <w:vertAlign w:val="superscript"/>
              </w:rPr>
              <w:t>2</w:t>
            </w:r>
            <w:r>
              <w:rPr>
                <w:rFonts w:hint="eastAsia" w:cs="宋体"/>
                <w:kern w:val="0"/>
                <w:sz w:val="24"/>
              </w:rPr>
              <w:t>，占总规划用地面积的30.24%，主要位于大浪河西侧与主城区之间以及兴工路以南的区域；三类工业用地297.39hm</w:t>
            </w:r>
            <w:r>
              <w:rPr>
                <w:rFonts w:hint="eastAsia" w:cs="宋体"/>
                <w:kern w:val="0"/>
                <w:sz w:val="24"/>
                <w:vertAlign w:val="superscript"/>
              </w:rPr>
              <w:t>2</w:t>
            </w:r>
            <w:r>
              <w:rPr>
                <w:rFonts w:hint="eastAsia" w:cs="宋体"/>
                <w:kern w:val="0"/>
                <w:sz w:val="24"/>
              </w:rPr>
              <w:t>，占总规划用地面积的18.51%，主要位于北部片区兴工路以北、瞿店河以东的区域以及西北片区的石材城产业区。</w:t>
            </w:r>
          </w:p>
          <w:p>
            <w:pPr>
              <w:autoSpaceDE w:val="0"/>
              <w:autoSpaceDN w:val="0"/>
              <w:adjustRightInd w:val="0"/>
              <w:snapToGrid w:val="0"/>
              <w:spacing w:line="360" w:lineRule="auto"/>
              <w:ind w:firstLine="480" w:firstLineChars="200"/>
              <w:rPr>
                <w:rFonts w:hint="eastAsia" w:cs="宋体"/>
                <w:kern w:val="0"/>
                <w:sz w:val="24"/>
                <w:lang w:val="en-US" w:eastAsia="zh-CN"/>
              </w:rPr>
            </w:pPr>
            <w:r>
              <w:rPr>
                <w:rFonts w:hint="eastAsia" w:cs="宋体"/>
                <w:kern w:val="0"/>
                <w:sz w:val="24"/>
                <w:lang w:val="en-US" w:eastAsia="zh-CN"/>
              </w:rPr>
              <w:t>本项目占地类型为三类工业用地，详见附图四。</w:t>
            </w:r>
          </w:p>
          <w:p>
            <w:pPr>
              <w:numPr>
                <w:ilvl w:val="0"/>
                <w:numId w:val="1"/>
              </w:numPr>
              <w:autoSpaceDE w:val="0"/>
              <w:autoSpaceDN w:val="0"/>
              <w:adjustRightInd w:val="0"/>
              <w:snapToGrid w:val="0"/>
              <w:spacing w:line="360" w:lineRule="auto"/>
              <w:ind w:firstLine="480" w:firstLineChars="200"/>
              <w:rPr>
                <w:rFonts w:cs="宋体"/>
                <w:kern w:val="0"/>
                <w:sz w:val="24"/>
              </w:rPr>
            </w:pPr>
            <w:r>
              <w:rPr>
                <w:rFonts w:hint="eastAsia" w:cs="宋体"/>
                <w:kern w:val="0"/>
                <w:sz w:val="24"/>
              </w:rPr>
              <w:t>环境准入条件</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《鲁山县产业集聚区空间规划（2014-2020）环境影响报告书》</w:t>
            </w:r>
            <w:r>
              <w:rPr>
                <w:rFonts w:hint="eastAsia" w:cs="宋体"/>
                <w:kern w:val="0"/>
                <w:sz w:val="24"/>
                <w:lang w:eastAsia="zh-CN"/>
              </w:rPr>
              <w:t>于</w:t>
            </w:r>
            <w:r>
              <w:rPr>
                <w:rFonts w:hint="eastAsia" w:cs="宋体"/>
                <w:kern w:val="0"/>
                <w:sz w:val="24"/>
              </w:rPr>
              <w:t>2016年7月由南京国环环境科技发展股份有限公司编制完成。根据该集聚区规划环评报告，环保准入条件见下表。</w:t>
            </w:r>
          </w:p>
          <w:p>
            <w:pPr>
              <w:pStyle w:val="44"/>
              <w:tabs>
                <w:tab w:val="left" w:pos="895"/>
                <w:tab w:val="clear" w:pos="1322"/>
              </w:tabs>
              <w:spacing w:line="360" w:lineRule="auto"/>
              <w:rPr>
                <w:rFonts w:eastAsia="宋体"/>
                <w:sz w:val="24"/>
                <w:szCs w:val="24"/>
              </w:rPr>
            </w:pPr>
            <w:r>
              <w:rPr>
                <w:rFonts w:hint="eastAsia" w:eastAsia="宋体"/>
                <w:sz w:val="24"/>
                <w:szCs w:val="24"/>
              </w:rPr>
              <w:t>表1-1    集聚区优先发展项目清单及环境准入条件</w:t>
            </w:r>
          </w:p>
          <w:tbl>
            <w:tblPr>
              <w:tblStyle w:val="26"/>
              <w:tblW w:w="6421"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0"/>
              <w:gridCol w:w="1084"/>
              <w:gridCol w:w="2146"/>
              <w:gridCol w:w="250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90" w:type="dxa"/>
                  <w:vAlign w:val="center"/>
                </w:tcPr>
                <w:p>
                  <w:pPr>
                    <w:jc w:val="center"/>
                    <w:rPr>
                      <w:b/>
                      <w:bCs/>
                      <w:color w:val="000000"/>
                      <w:szCs w:val="21"/>
                    </w:rPr>
                  </w:pPr>
                  <w:r>
                    <w:rPr>
                      <w:b/>
                      <w:bCs/>
                      <w:color w:val="000000"/>
                      <w:szCs w:val="21"/>
                    </w:rPr>
                    <w:t>类别</w:t>
                  </w:r>
                </w:p>
              </w:tc>
              <w:tc>
                <w:tcPr>
                  <w:tcW w:w="1084" w:type="dxa"/>
                  <w:vAlign w:val="center"/>
                </w:tcPr>
                <w:p>
                  <w:pPr>
                    <w:jc w:val="center"/>
                    <w:rPr>
                      <w:b/>
                      <w:bCs/>
                      <w:color w:val="000000"/>
                      <w:szCs w:val="21"/>
                    </w:rPr>
                  </w:pPr>
                  <w:r>
                    <w:rPr>
                      <w:b/>
                      <w:bCs/>
                      <w:color w:val="000000"/>
                      <w:szCs w:val="21"/>
                    </w:rPr>
                    <w:t>主要行业</w:t>
                  </w:r>
                </w:p>
              </w:tc>
              <w:tc>
                <w:tcPr>
                  <w:tcW w:w="2146" w:type="dxa"/>
                  <w:vAlign w:val="center"/>
                </w:tcPr>
                <w:p>
                  <w:pPr>
                    <w:jc w:val="center"/>
                    <w:rPr>
                      <w:b/>
                      <w:bCs/>
                      <w:color w:val="000000"/>
                      <w:szCs w:val="21"/>
                    </w:rPr>
                  </w:pPr>
                  <w:r>
                    <w:rPr>
                      <w:b/>
                      <w:bCs/>
                      <w:color w:val="000000"/>
                      <w:szCs w:val="21"/>
                    </w:rPr>
                    <w:t>优先引入类别</w:t>
                  </w:r>
                </w:p>
              </w:tc>
              <w:tc>
                <w:tcPr>
                  <w:tcW w:w="2501" w:type="dxa"/>
                  <w:vAlign w:val="center"/>
                </w:tcPr>
                <w:p>
                  <w:pPr>
                    <w:jc w:val="center"/>
                    <w:rPr>
                      <w:b/>
                      <w:bCs/>
                      <w:color w:val="000000"/>
                      <w:szCs w:val="21"/>
                    </w:rPr>
                  </w:pPr>
                  <w:r>
                    <w:rPr>
                      <w:b/>
                      <w:bCs/>
                      <w:color w:val="000000"/>
                      <w:szCs w:val="21"/>
                    </w:rPr>
                    <w:t>禁止引入类别</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90" w:type="dxa"/>
                  <w:vAlign w:val="center"/>
                </w:tcPr>
                <w:p>
                  <w:pPr>
                    <w:jc w:val="center"/>
                    <w:rPr>
                      <w:color w:val="000000"/>
                      <w:szCs w:val="21"/>
                    </w:rPr>
                  </w:pPr>
                  <w:r>
                    <w:rPr>
                      <w:color w:val="000000"/>
                      <w:szCs w:val="21"/>
                    </w:rPr>
                    <w:t>建材</w:t>
                  </w:r>
                </w:p>
              </w:tc>
              <w:tc>
                <w:tcPr>
                  <w:tcW w:w="1084" w:type="dxa"/>
                  <w:vAlign w:val="center"/>
                </w:tcPr>
                <w:p>
                  <w:pPr>
                    <w:jc w:val="center"/>
                    <w:rPr>
                      <w:color w:val="000000"/>
                      <w:szCs w:val="21"/>
                    </w:rPr>
                  </w:pPr>
                  <w:r>
                    <w:rPr>
                      <w:color w:val="000000"/>
                      <w:szCs w:val="21"/>
                    </w:rPr>
                    <w:t>非金属矿物制品业</w:t>
                  </w:r>
                </w:p>
              </w:tc>
              <w:tc>
                <w:tcPr>
                  <w:tcW w:w="2146" w:type="dxa"/>
                  <w:vAlign w:val="center"/>
                </w:tcPr>
                <w:p>
                  <w:pPr>
                    <w:rPr>
                      <w:color w:val="000000"/>
                      <w:szCs w:val="21"/>
                    </w:rPr>
                  </w:pPr>
                  <w:r>
                    <w:rPr>
                      <w:color w:val="000000"/>
                      <w:szCs w:val="21"/>
                    </w:rPr>
                    <w:t>新型墙体材料、新型耐材、矿物质深加工等</w:t>
                  </w:r>
                </w:p>
              </w:tc>
              <w:tc>
                <w:tcPr>
                  <w:tcW w:w="2501" w:type="dxa"/>
                  <w:vAlign w:val="center"/>
                </w:tcPr>
                <w:p>
                  <w:pPr>
                    <w:rPr>
                      <w:color w:val="000000"/>
                      <w:szCs w:val="21"/>
                    </w:rPr>
                  </w:pPr>
                  <w:r>
                    <w:rPr>
                      <w:color w:val="000000"/>
                      <w:szCs w:val="21"/>
                    </w:rPr>
                    <w:t>水泥</w:t>
                  </w:r>
                  <w:r>
                    <w:rPr>
                      <w:rFonts w:hint="eastAsia"/>
                      <w:color w:val="000000"/>
                      <w:szCs w:val="21"/>
                    </w:rPr>
                    <w:t>、</w:t>
                  </w:r>
                  <w:r>
                    <w:rPr>
                      <w:color w:val="000000"/>
                      <w:szCs w:val="21"/>
                    </w:rPr>
                    <w:t>玻璃行业；其他废气严重污染环境的企业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90" w:type="dxa"/>
                  <w:vAlign w:val="center"/>
                </w:tcPr>
                <w:p>
                  <w:pPr>
                    <w:jc w:val="center"/>
                    <w:rPr>
                      <w:color w:val="000000"/>
                      <w:szCs w:val="21"/>
                    </w:rPr>
                  </w:pPr>
                  <w:r>
                    <w:rPr>
                      <w:color w:val="000000"/>
                      <w:szCs w:val="21"/>
                    </w:rPr>
                    <w:t>轻工</w:t>
                  </w:r>
                </w:p>
              </w:tc>
              <w:tc>
                <w:tcPr>
                  <w:tcW w:w="1084" w:type="dxa"/>
                  <w:vAlign w:val="center"/>
                </w:tcPr>
                <w:p>
                  <w:pPr>
                    <w:rPr>
                      <w:color w:val="000000"/>
                      <w:szCs w:val="21"/>
                    </w:rPr>
                  </w:pPr>
                  <w:r>
                    <w:rPr>
                      <w:color w:val="000000"/>
                      <w:szCs w:val="21"/>
                    </w:rPr>
                    <w:t>轻纺工业</w:t>
                  </w:r>
                </w:p>
              </w:tc>
              <w:tc>
                <w:tcPr>
                  <w:tcW w:w="2146" w:type="dxa"/>
                  <w:vAlign w:val="center"/>
                </w:tcPr>
                <w:p>
                  <w:pPr>
                    <w:rPr>
                      <w:color w:val="000000"/>
                      <w:szCs w:val="21"/>
                    </w:rPr>
                  </w:pPr>
                  <w:r>
                    <w:rPr>
                      <w:color w:val="000000"/>
                      <w:szCs w:val="21"/>
                    </w:rPr>
                    <w:t>不含印染的轻纺和服装工业、旅游产品、加工组装类产品等</w:t>
                  </w:r>
                </w:p>
              </w:tc>
              <w:tc>
                <w:tcPr>
                  <w:tcW w:w="2501" w:type="dxa"/>
                  <w:vAlign w:val="center"/>
                </w:tcPr>
                <w:p>
                  <w:pPr>
                    <w:rPr>
                      <w:color w:val="000000"/>
                      <w:szCs w:val="21"/>
                    </w:rPr>
                  </w:pPr>
                  <w:r>
                    <w:rPr>
                      <w:color w:val="000000"/>
                      <w:szCs w:val="21"/>
                    </w:rPr>
                    <w:t>有发酵工艺或有异味的食品加工业、轮胎和橡胶制品业、有化学工艺的纸制品和木制品企业；其他有明显废气污染的企业</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690" w:type="dxa"/>
                  <w:vAlign w:val="center"/>
                </w:tcPr>
                <w:p>
                  <w:pPr>
                    <w:jc w:val="center"/>
                    <w:rPr>
                      <w:color w:val="000000"/>
                      <w:szCs w:val="21"/>
                    </w:rPr>
                  </w:pPr>
                  <w:r>
                    <w:rPr>
                      <w:color w:val="000000"/>
                      <w:szCs w:val="21"/>
                    </w:rPr>
                    <w:t>机电</w:t>
                  </w:r>
                </w:p>
              </w:tc>
              <w:tc>
                <w:tcPr>
                  <w:tcW w:w="1084" w:type="dxa"/>
                  <w:vAlign w:val="center"/>
                </w:tcPr>
                <w:p>
                  <w:pPr>
                    <w:rPr>
                      <w:color w:val="000000"/>
                      <w:szCs w:val="21"/>
                    </w:rPr>
                  </w:pPr>
                  <w:r>
                    <w:rPr>
                      <w:color w:val="000000"/>
                      <w:szCs w:val="21"/>
                    </w:rPr>
                    <w:t>电子信息产业</w:t>
                  </w:r>
                </w:p>
              </w:tc>
              <w:tc>
                <w:tcPr>
                  <w:tcW w:w="2146" w:type="dxa"/>
                  <w:vAlign w:val="center"/>
                </w:tcPr>
                <w:p>
                  <w:pPr>
                    <w:rPr>
                      <w:color w:val="000000"/>
                      <w:szCs w:val="21"/>
                    </w:rPr>
                  </w:pPr>
                  <w:r>
                    <w:rPr>
                      <w:color w:val="000000"/>
                      <w:szCs w:val="21"/>
                    </w:rPr>
                    <w:t>智能手机、平板电脑、智能电视等智能终端产业，新型显示器件、集成电路、半导体照明等电子基础配套产业和软件业</w:t>
                  </w:r>
                </w:p>
              </w:tc>
              <w:tc>
                <w:tcPr>
                  <w:tcW w:w="2501" w:type="dxa"/>
                  <w:vAlign w:val="center"/>
                </w:tcPr>
                <w:p>
                  <w:pPr>
                    <w:rPr>
                      <w:color w:val="000000"/>
                      <w:szCs w:val="21"/>
                    </w:rPr>
                  </w:pPr>
                  <w:r>
                    <w:rPr>
                      <w:color w:val="000000"/>
                      <w:szCs w:val="21"/>
                    </w:rPr>
                    <w:t>有电镀</w:t>
                  </w:r>
                  <w:r>
                    <w:rPr>
                      <w:rFonts w:hint="eastAsia"/>
                      <w:color w:val="000000"/>
                      <w:szCs w:val="21"/>
                    </w:rPr>
                    <w:t>、</w:t>
                  </w:r>
                  <w:r>
                    <w:rPr>
                      <w:color w:val="000000"/>
                      <w:szCs w:val="21"/>
                    </w:rPr>
                    <w:t>喷漆或表面处理工艺等污染严重的企业、电池制造等</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340" w:hRule="atLeast"/>
                <w:jc w:val="center"/>
              </w:trPr>
              <w:tc>
                <w:tcPr>
                  <w:tcW w:w="1774" w:type="dxa"/>
                  <w:gridSpan w:val="2"/>
                  <w:tcBorders>
                    <w:right w:val="single" w:color="auto" w:sz="4" w:space="0"/>
                  </w:tcBorders>
                  <w:vAlign w:val="center"/>
                </w:tcPr>
                <w:p>
                  <w:pPr>
                    <w:jc w:val="center"/>
                    <w:rPr>
                      <w:color w:val="000000"/>
                      <w:szCs w:val="21"/>
                    </w:rPr>
                  </w:pPr>
                  <w:r>
                    <w:rPr>
                      <w:color w:val="000000"/>
                      <w:szCs w:val="21"/>
                    </w:rPr>
                    <w:t>其它</w:t>
                  </w:r>
                </w:p>
              </w:tc>
              <w:tc>
                <w:tcPr>
                  <w:tcW w:w="2146" w:type="dxa"/>
                  <w:tcBorders>
                    <w:left w:val="single" w:color="auto" w:sz="4" w:space="0"/>
                  </w:tcBorders>
                  <w:vAlign w:val="center"/>
                </w:tcPr>
                <w:p>
                  <w:pPr>
                    <w:rPr>
                      <w:color w:val="000000"/>
                      <w:szCs w:val="21"/>
                    </w:rPr>
                  </w:pPr>
                  <w:r>
                    <w:rPr>
                      <w:color w:val="000000"/>
                      <w:szCs w:val="21"/>
                    </w:rPr>
                    <w:t>无污染、高附加值的企业</w:t>
                  </w:r>
                </w:p>
              </w:tc>
              <w:tc>
                <w:tcPr>
                  <w:tcW w:w="2501" w:type="dxa"/>
                  <w:tcBorders>
                    <w:left w:val="single" w:color="auto" w:sz="4" w:space="0"/>
                  </w:tcBorders>
                  <w:vAlign w:val="center"/>
                </w:tcPr>
                <w:p>
                  <w:pPr>
                    <w:rPr>
                      <w:color w:val="000000"/>
                      <w:szCs w:val="21"/>
                    </w:rPr>
                  </w:pPr>
                  <w:r>
                    <w:rPr>
                      <w:color w:val="000000"/>
                      <w:szCs w:val="21"/>
                    </w:rPr>
                    <w:t>不符合国家产业政策的企业；造纸、制革、印染、发酵、白酒、化工、冶金、电镀</w:t>
                  </w:r>
                  <w:r>
                    <w:rPr>
                      <w:bCs/>
                      <w:color w:val="000000"/>
                      <w:szCs w:val="21"/>
                    </w:rPr>
                    <w:t>等</w:t>
                  </w:r>
                  <w:r>
                    <w:rPr>
                      <w:color w:val="000000"/>
                      <w:szCs w:val="21"/>
                    </w:rPr>
                    <w:t>污染严重的企业；废水排放量大的企业</w:t>
                  </w:r>
                </w:p>
              </w:tc>
            </w:tr>
          </w:tbl>
          <w:p>
            <w:pPr>
              <w:autoSpaceDE w:val="0"/>
              <w:autoSpaceDN w:val="0"/>
              <w:adjustRightInd w:val="0"/>
              <w:snapToGrid w:val="0"/>
              <w:spacing w:line="360" w:lineRule="auto"/>
              <w:ind w:firstLine="480" w:firstLineChars="200"/>
              <w:rPr>
                <w:rFonts w:hint="eastAsia" w:cs="宋体"/>
                <w:kern w:val="0"/>
                <w:sz w:val="24"/>
                <w:lang w:val="en-US" w:eastAsia="zh-CN"/>
              </w:rPr>
            </w:pPr>
            <w:r>
              <w:rPr>
                <w:rFonts w:hint="eastAsia" w:cs="宋体"/>
                <w:kern w:val="0"/>
                <w:sz w:val="24"/>
                <w:lang w:val="en-US" w:eastAsia="zh-CN"/>
              </w:rPr>
              <w:t>本项目已取得鲁山县产业集聚区管理委员会备案（项目代码：2107-410423-04-01-823292，见附件2），并与产业集聚区签订了入驻协议，见附件6。本项目符合集聚区环境准入条件，因此，项目建设满足《</w:t>
            </w:r>
            <w:r>
              <w:rPr>
                <w:rFonts w:hint="eastAsia" w:cs="宋体"/>
                <w:kern w:val="0"/>
                <w:sz w:val="24"/>
              </w:rPr>
              <w:t>鲁山县产业集聚区空间规划（2014-2020）</w:t>
            </w:r>
            <w:r>
              <w:rPr>
                <w:rFonts w:hint="eastAsia" w:cs="宋体"/>
                <w:kern w:val="0"/>
                <w:sz w:val="24"/>
                <w:lang w:val="en-US" w:eastAsia="zh-CN"/>
              </w:rPr>
              <w:t>》的要求。</w:t>
            </w:r>
          </w:p>
          <w:p>
            <w:pPr>
              <w:autoSpaceDE w:val="0"/>
              <w:autoSpaceDN w:val="0"/>
              <w:adjustRightInd w:val="0"/>
              <w:snapToGrid w:val="0"/>
              <w:spacing w:line="360" w:lineRule="auto"/>
              <w:ind w:firstLine="482" w:firstLineChars="200"/>
              <w:rPr>
                <w:rFonts w:hint="eastAsia" w:cs="宋体"/>
                <w:b/>
                <w:bCs/>
                <w:kern w:val="0"/>
                <w:sz w:val="24"/>
                <w:u w:val="single"/>
                <w:lang w:val="en-US" w:eastAsia="zh-CN"/>
              </w:rPr>
            </w:pPr>
            <w:r>
              <w:rPr>
                <w:rFonts w:hint="eastAsia" w:cs="宋体"/>
                <w:b/>
                <w:bCs/>
                <w:kern w:val="0"/>
                <w:sz w:val="24"/>
                <w:u w:val="single"/>
              </w:rPr>
              <w:t>（</w:t>
            </w:r>
            <w:r>
              <w:rPr>
                <w:rFonts w:hint="eastAsia" w:cs="宋体"/>
                <w:b/>
                <w:bCs/>
                <w:kern w:val="0"/>
                <w:sz w:val="24"/>
                <w:u w:val="single"/>
                <w:lang w:val="en-US" w:eastAsia="zh-CN"/>
              </w:rPr>
              <w:t>7</w:t>
            </w:r>
            <w:r>
              <w:rPr>
                <w:rFonts w:hint="eastAsia" w:cs="宋体"/>
                <w:b/>
                <w:bCs/>
                <w:kern w:val="0"/>
                <w:sz w:val="24"/>
                <w:u w:val="single"/>
              </w:rPr>
              <w:t>）</w:t>
            </w:r>
            <w:r>
              <w:rPr>
                <w:rFonts w:hint="eastAsia" w:cs="宋体"/>
                <w:b/>
                <w:bCs/>
                <w:kern w:val="0"/>
                <w:sz w:val="24"/>
                <w:u w:val="single"/>
                <w:lang w:val="en-US" w:eastAsia="zh-CN"/>
              </w:rPr>
              <w:t>基础设施规划</w:t>
            </w:r>
          </w:p>
          <w:p>
            <w:pPr>
              <w:autoSpaceDE w:val="0"/>
              <w:autoSpaceDN w:val="0"/>
              <w:adjustRightInd w:val="0"/>
              <w:snapToGrid w:val="0"/>
              <w:spacing w:line="360" w:lineRule="auto"/>
              <w:ind w:firstLine="482" w:firstLineChars="200"/>
              <w:rPr>
                <w:rFonts w:hint="eastAsia" w:cs="宋体"/>
                <w:b/>
                <w:bCs/>
                <w:kern w:val="0"/>
                <w:sz w:val="24"/>
                <w:u w:val="single"/>
                <w:lang w:val="en-US" w:eastAsia="zh-CN"/>
              </w:rPr>
            </w:pPr>
            <w:r>
              <w:rPr>
                <w:rFonts w:hint="eastAsia" w:cs="宋体"/>
                <w:b/>
                <w:bCs/>
                <w:kern w:val="0"/>
                <w:sz w:val="24"/>
                <w:u w:val="single"/>
                <w:lang w:val="en-US" w:eastAsia="zh-CN"/>
              </w:rPr>
              <w:t>参照</w:t>
            </w:r>
            <w:r>
              <w:rPr>
                <w:rFonts w:hint="eastAsia" w:cs="宋体"/>
                <w:b/>
                <w:bCs/>
                <w:kern w:val="0"/>
                <w:sz w:val="24"/>
                <w:u w:val="single"/>
              </w:rPr>
              <w:t>《鲁山县产业集聚区空间规划（2014-2020）环境影响报告书》</w:t>
            </w:r>
            <w:r>
              <w:rPr>
                <w:rFonts w:hint="eastAsia" w:cs="宋体"/>
                <w:b/>
                <w:bCs/>
                <w:kern w:val="0"/>
                <w:sz w:val="24"/>
                <w:u w:val="single"/>
                <w:lang w:val="en-US" w:eastAsia="zh-CN"/>
              </w:rPr>
              <w:t>，并结合现场勘查，集聚区内现有及规划的基础设施情况，本项目依托情况见下表。</w:t>
            </w:r>
          </w:p>
          <w:p>
            <w:pPr>
              <w:autoSpaceDE w:val="0"/>
              <w:autoSpaceDN w:val="0"/>
              <w:adjustRightInd w:val="0"/>
              <w:snapToGrid w:val="0"/>
              <w:spacing w:line="360" w:lineRule="auto"/>
              <w:ind w:firstLine="482" w:firstLineChars="200"/>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pStyle w:val="7"/>
              <w:rPr>
                <w:rFonts w:hint="eastAsia" w:cs="宋体"/>
                <w:b/>
                <w:bCs/>
                <w:kern w:val="0"/>
                <w:sz w:val="24"/>
                <w:u w:val="single"/>
                <w:lang w:val="en-US" w:eastAsia="zh-CN"/>
              </w:rPr>
            </w:pPr>
          </w:p>
          <w:p>
            <w:pPr>
              <w:autoSpaceDE w:val="0"/>
              <w:autoSpaceDN w:val="0"/>
              <w:adjustRightInd w:val="0"/>
              <w:snapToGrid w:val="0"/>
              <w:spacing w:line="360" w:lineRule="auto"/>
              <w:ind w:firstLine="480" w:firstLineChars="200"/>
              <w:rPr>
                <w:rFonts w:cs="宋体"/>
                <w:kern w:val="0"/>
                <w:sz w:val="24"/>
              </w:rPr>
            </w:pPr>
          </w:p>
        </w:tc>
      </w:tr>
    </w:tbl>
    <w:p>
      <w:pPr>
        <w:spacing w:line="360" w:lineRule="auto"/>
        <w:outlineLvl w:val="0"/>
        <w:rPr>
          <w:sz w:val="30"/>
        </w:rPr>
        <w:sectPr>
          <w:footerReference r:id="rId3" w:type="default"/>
          <w:pgSz w:w="11906" w:h="16838"/>
          <w:pgMar w:top="1701" w:right="1531" w:bottom="1701" w:left="1531" w:header="851" w:footer="1077" w:gutter="0"/>
          <w:cols w:space="720" w:num="1"/>
          <w:docGrid w:linePitch="312" w:charSpace="0"/>
        </w:sectPr>
      </w:pPr>
    </w:p>
    <w:tbl>
      <w:tblPr>
        <w:tblStyle w:val="26"/>
        <w:tblW w:w="1365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42"/>
        <w:gridCol w:w="1131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342" w:type="dxa"/>
            <w:vAlign w:val="center"/>
          </w:tcPr>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rFonts w:hint="eastAsia" w:cs="宋体"/>
                <w:kern w:val="0"/>
                <w:sz w:val="24"/>
              </w:rPr>
            </w:pPr>
            <w:r>
              <w:rPr>
                <w:rFonts w:hint="eastAsia" w:cs="宋体"/>
                <w:kern w:val="0"/>
                <w:sz w:val="24"/>
              </w:rPr>
              <w:t>规划及规划环境影响评价符合性分析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spacing w:line="120" w:lineRule="exact"/>
            </w:pPr>
          </w:p>
          <w:p>
            <w:pPr>
              <w:pStyle w:val="7"/>
              <w:rPr>
                <w:rFonts w:cs="宋体"/>
                <w:kern w:val="0"/>
                <w:sz w:val="24"/>
              </w:rPr>
            </w:pPr>
          </w:p>
        </w:tc>
        <w:tc>
          <w:tcPr>
            <w:tcW w:w="11310" w:type="dxa"/>
            <w:vAlign w:val="center"/>
          </w:tcPr>
          <w:p>
            <w:pPr>
              <w:pStyle w:val="44"/>
              <w:tabs>
                <w:tab w:val="left" w:pos="895"/>
                <w:tab w:val="clear" w:pos="1322"/>
              </w:tabs>
              <w:spacing w:line="360" w:lineRule="auto"/>
              <w:rPr>
                <w:rFonts w:hint="eastAsia" w:eastAsia="宋体"/>
                <w:sz w:val="24"/>
                <w:szCs w:val="24"/>
                <w:u w:val="single"/>
                <w:lang w:val="en-US" w:eastAsia="zh-CN"/>
              </w:rPr>
            </w:pPr>
            <w:r>
              <w:rPr>
                <w:rFonts w:hint="eastAsia" w:eastAsia="宋体"/>
                <w:sz w:val="24"/>
                <w:szCs w:val="24"/>
                <w:u w:val="single"/>
              </w:rPr>
              <w:t xml:space="preserve">表1-2    </w:t>
            </w:r>
            <w:r>
              <w:rPr>
                <w:rFonts w:hint="eastAsia" w:eastAsia="宋体"/>
                <w:sz w:val="24"/>
                <w:szCs w:val="24"/>
                <w:u w:val="single"/>
                <w:lang w:val="en-US" w:eastAsia="zh-CN"/>
              </w:rPr>
              <w:t>鲁山县产业集聚区现有基础设施及规划情况一览表</w:t>
            </w:r>
          </w:p>
          <w:tbl>
            <w:tblPr>
              <w:tblStyle w:val="26"/>
              <w:tblW w:w="110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1"/>
              <w:gridCol w:w="4570"/>
              <w:gridCol w:w="4106"/>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tblHeader/>
                <w:jc w:val="center"/>
              </w:trPr>
              <w:tc>
                <w:tcPr>
                  <w:tcW w:w="511"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b/>
                      <w:bCs/>
                      <w:szCs w:val="21"/>
                      <w:lang w:eastAsia="zh-CN"/>
                    </w:rPr>
                  </w:pPr>
                  <w:r>
                    <w:rPr>
                      <w:rFonts w:hint="eastAsia"/>
                      <w:b/>
                      <w:bCs/>
                      <w:szCs w:val="21"/>
                      <w:lang w:val="en-US" w:eastAsia="zh-CN"/>
                    </w:rPr>
                    <w:t>类别</w:t>
                  </w:r>
                </w:p>
              </w:tc>
              <w:tc>
                <w:tcPr>
                  <w:tcW w:w="4570"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b/>
                      <w:bCs/>
                      <w:szCs w:val="21"/>
                      <w:lang w:val="en-US" w:eastAsia="zh-CN"/>
                    </w:rPr>
                  </w:pPr>
                  <w:r>
                    <w:rPr>
                      <w:rFonts w:hint="eastAsia"/>
                      <w:b/>
                      <w:bCs/>
                      <w:szCs w:val="21"/>
                      <w:lang w:val="en-US" w:eastAsia="zh-CN"/>
                    </w:rPr>
                    <w:t>规划情况</w:t>
                  </w:r>
                </w:p>
              </w:tc>
              <w:tc>
                <w:tcPr>
                  <w:tcW w:w="4106" w:type="dxa"/>
                  <w:tcBorders>
                    <w:top w:val="single" w:color="auto" w:sz="4" w:space="0"/>
                    <w:left w:val="single" w:color="auto" w:sz="4" w:space="0"/>
                    <w:bottom w:val="single" w:color="auto" w:sz="4" w:space="0"/>
                    <w:right w:val="single" w:color="auto" w:sz="4" w:space="0"/>
                  </w:tcBorders>
                  <w:vAlign w:val="center"/>
                </w:tcPr>
                <w:p>
                  <w:pPr>
                    <w:pStyle w:val="46"/>
                    <w:jc w:val="center"/>
                    <w:rPr>
                      <w:rFonts w:hint="eastAsia"/>
                      <w:b/>
                      <w:bCs/>
                      <w:szCs w:val="21"/>
                    </w:rPr>
                  </w:pPr>
                  <w:r>
                    <w:rPr>
                      <w:rFonts w:hint="eastAsia"/>
                      <w:b/>
                      <w:bCs/>
                      <w:szCs w:val="21"/>
                      <w:lang w:val="en-US" w:eastAsia="zh-CN"/>
                    </w:rPr>
                    <w:t>已建情况</w:t>
                  </w:r>
                </w:p>
              </w:tc>
              <w:tc>
                <w:tcPr>
                  <w:tcW w:w="1897" w:type="dxa"/>
                  <w:tcBorders>
                    <w:top w:val="single" w:color="auto" w:sz="4" w:space="0"/>
                    <w:left w:val="single" w:color="auto" w:sz="4" w:space="0"/>
                    <w:bottom w:val="single" w:color="auto" w:sz="4" w:space="0"/>
                    <w:right w:val="single" w:color="auto" w:sz="4" w:space="0"/>
                  </w:tcBorders>
                  <w:vAlign w:val="center"/>
                </w:tcPr>
                <w:p>
                  <w:pPr>
                    <w:pStyle w:val="46"/>
                    <w:jc w:val="center"/>
                    <w:rPr>
                      <w:rFonts w:hint="eastAsia" w:eastAsia="宋体"/>
                      <w:b/>
                      <w:bCs/>
                      <w:szCs w:val="21"/>
                      <w:lang w:val="en-US" w:eastAsia="zh-CN"/>
                    </w:rPr>
                  </w:pPr>
                  <w:r>
                    <w:rPr>
                      <w:rFonts w:hint="eastAsia"/>
                      <w:b/>
                      <w:bCs/>
                      <w:szCs w:val="21"/>
                      <w:lang w:val="en-US" w:eastAsia="zh-CN"/>
                    </w:rPr>
                    <w:t>本项目依托情况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11" w:type="dxa"/>
                  <w:tcBorders>
                    <w:top w:val="single" w:color="auto" w:sz="4" w:space="0"/>
                    <w:left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供水</w:t>
                  </w:r>
                </w:p>
              </w:tc>
              <w:tc>
                <w:tcPr>
                  <w:tcW w:w="4570" w:type="dxa"/>
                  <w:tcBorders>
                    <w:top w:val="single" w:color="auto" w:sz="4" w:space="0"/>
                    <w:left w:val="single" w:color="auto" w:sz="4" w:space="0"/>
                    <w:right w:val="single" w:color="auto" w:sz="4" w:space="0"/>
                  </w:tcBorders>
                  <w:vAlign w:val="center"/>
                </w:tcPr>
                <w:p>
                  <w:pP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产业集聚区北区用水由鲁山县第二水厂供给，第二水厂位于北外环路以北、梁张路以东，远期供水规模7.0万吨/日，水源采用昭平台水库水</w:t>
                  </w:r>
                  <w:r>
                    <w:rPr>
                      <w:rFonts w:hint="eastAsia" w:cs="Times New Roman"/>
                      <w:kern w:val="2"/>
                      <w:sz w:val="21"/>
                      <w:szCs w:val="21"/>
                      <w:lang w:val="en-US" w:eastAsia="zh-CN" w:bidi="ar-SA"/>
                    </w:rPr>
                    <w:t>。</w:t>
                  </w:r>
                </w:p>
                <w:p>
                  <w:pPr>
                    <w:rPr>
                      <w:szCs w:val="21"/>
                    </w:rPr>
                  </w:pPr>
                  <w:r>
                    <w:rPr>
                      <w:rFonts w:hint="eastAsia" w:ascii="Times New Roman" w:hAnsi="Times New Roman" w:eastAsia="宋体" w:cs="Times New Roman"/>
                      <w:kern w:val="2"/>
                      <w:sz w:val="21"/>
                      <w:szCs w:val="21"/>
                      <w:lang w:val="en-US" w:eastAsia="zh-CN" w:bidi="ar-SA"/>
                    </w:rPr>
                    <w:t>产业集聚区用水由主城区供水管网延伸供给。</w:t>
                  </w:r>
                </w:p>
              </w:tc>
              <w:tc>
                <w:tcPr>
                  <w:tcW w:w="410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left"/>
                    <w:rPr>
                      <w:rFonts w:hint="eastAsia" w:eastAsia="宋体"/>
                      <w:szCs w:val="21"/>
                      <w:lang w:val="en-US" w:eastAsia="zh-CN"/>
                    </w:rPr>
                  </w:pPr>
                  <w:r>
                    <w:rPr>
                      <w:rFonts w:hint="eastAsia"/>
                      <w:szCs w:val="21"/>
                      <w:lang w:val="en-US" w:eastAsia="zh-CN"/>
                    </w:rPr>
                    <w:t>本项目位于集聚区北区梁张路与兴工路交叉口北300米路东。项目所在地目前尚未铺设供水管网，未实现集中供水。</w:t>
                  </w:r>
                </w:p>
              </w:tc>
              <w:tc>
                <w:tcPr>
                  <w:tcW w:w="189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left"/>
                    <w:rPr>
                      <w:rFonts w:hint="eastAsia" w:eastAsia="宋体"/>
                      <w:szCs w:val="21"/>
                      <w:lang w:val="en-US" w:eastAsia="zh-CN"/>
                    </w:rPr>
                  </w:pPr>
                  <w:r>
                    <w:rPr>
                      <w:rFonts w:hint="eastAsia"/>
                      <w:lang w:val="en-US" w:eastAsia="zh-CN"/>
                    </w:rPr>
                    <w:t>本项目</w:t>
                  </w:r>
                  <w:r>
                    <w:rPr>
                      <w:rFonts w:hint="eastAsia"/>
                    </w:rPr>
                    <w:t>生活用水由鹁鸽吴村集中供水提供，生产用水由厂区内自备水井提供</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11" w:type="dxa"/>
                  <w:tcBorders>
                    <w:left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排水</w:t>
                  </w:r>
                </w:p>
              </w:tc>
              <w:tc>
                <w:tcPr>
                  <w:tcW w:w="4570" w:type="dxa"/>
                  <w:tcBorders>
                    <w:left w:val="single" w:color="auto" w:sz="4" w:space="0"/>
                    <w:right w:val="single" w:color="auto" w:sz="4" w:space="0"/>
                  </w:tcBorders>
                  <w:vAlign w:val="center"/>
                </w:tcPr>
                <w:p>
                  <w:pP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规划区采用雨、污分流制的排水体制。</w:t>
                  </w:r>
                </w:p>
                <w:p>
                  <w:pP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在产业集聚区东北部规划有一处污水处理厂，用地规模为5.28公顷，污水处理能力为3万吨/日，污水处理厂出水水质执行《城镇污水处理厂污染物排放标准》（GB18918-2002）一级A标准。产业集聚区北片区污水接入规划的污水处理厂</w:t>
                  </w:r>
                  <w:r>
                    <w:rPr>
                      <w:rFonts w:hint="eastAsia" w:cs="Times New Roman"/>
                      <w:kern w:val="2"/>
                      <w:sz w:val="21"/>
                      <w:szCs w:val="21"/>
                      <w:lang w:val="en-US" w:eastAsia="zh-CN" w:bidi="ar-SA"/>
                    </w:rPr>
                    <w:t>，处理达标后全部回用</w:t>
                  </w:r>
                  <w:r>
                    <w:rPr>
                      <w:rFonts w:hint="eastAsia" w:ascii="Times New Roman" w:hAnsi="Times New Roman" w:eastAsia="宋体" w:cs="Times New Roman"/>
                      <w:kern w:val="2"/>
                      <w:sz w:val="21"/>
                      <w:szCs w:val="21"/>
                      <w:lang w:val="en-US" w:eastAsia="zh-CN" w:bidi="ar-SA"/>
                    </w:rPr>
                    <w:t>。</w:t>
                  </w:r>
                </w:p>
                <w:p>
                  <w:pPr>
                    <w:rPr>
                      <w:szCs w:val="21"/>
                    </w:rPr>
                  </w:pPr>
                  <w:r>
                    <w:rPr>
                      <w:rFonts w:hint="eastAsia" w:ascii="Times New Roman" w:hAnsi="Times New Roman" w:eastAsia="宋体" w:cs="Times New Roman"/>
                      <w:kern w:val="2"/>
                      <w:sz w:val="21"/>
                      <w:szCs w:val="21"/>
                      <w:lang w:val="en-US" w:eastAsia="zh-CN" w:bidi="ar-SA"/>
                    </w:rPr>
                    <w:t>雨水排放分区以大浪河、瞿店河和郑尧高速为界，分为东北片区、西北片区、东南片区和西南片区。东北片区（梁张路以东郑尧高速以北区域）：雨水由东向西，由北向南分别排入大浪河和瞿店河。</w:t>
                  </w:r>
                </w:p>
              </w:tc>
              <w:tc>
                <w:tcPr>
                  <w:tcW w:w="4106" w:type="dxa"/>
                  <w:tcBorders>
                    <w:top w:val="single" w:color="auto" w:sz="4" w:space="0"/>
                    <w:left w:val="single" w:color="auto" w:sz="4" w:space="0"/>
                    <w:bottom w:val="single" w:color="auto" w:sz="4" w:space="0"/>
                    <w:right w:val="single" w:color="auto" w:sz="4" w:space="0"/>
                  </w:tcBorders>
                  <w:vAlign w:val="center"/>
                </w:tcPr>
                <w:p>
                  <w:pP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鲁山县产业集聚区北区污水处理厂一期工程环境影响报告书于2014年1月22日获得河南省环保厅的批复，2016年2月通过工程竣工验收。鲁山县产业集聚区北区污水处理厂一期设计规模为1.5万m</w:t>
                  </w:r>
                  <w:r>
                    <w:rPr>
                      <w:rFonts w:hint="eastAsia" w:ascii="Times New Roman" w:hAnsi="Times New Roman" w:eastAsia="宋体" w:cs="Times New Roman"/>
                      <w:kern w:val="2"/>
                      <w:sz w:val="21"/>
                      <w:szCs w:val="21"/>
                      <w:vertAlign w:val="superscript"/>
                      <w:lang w:val="en-US" w:eastAsia="zh-CN" w:bidi="ar-SA"/>
                    </w:rPr>
                    <w:t>3</w:t>
                  </w:r>
                  <w:r>
                    <w:rPr>
                      <w:rFonts w:hint="eastAsia" w:ascii="Times New Roman" w:hAnsi="Times New Roman" w:eastAsia="宋体" w:cs="Times New Roman"/>
                      <w:kern w:val="2"/>
                      <w:sz w:val="21"/>
                      <w:szCs w:val="21"/>
                      <w:lang w:val="en-US" w:eastAsia="zh-CN" w:bidi="ar-SA"/>
                    </w:rPr>
                    <w:t>/d，工程出水设计按《城镇污水处理厂污水排放标准》（GB18918-2002）一级A标准进行控制，采用“改良型MSBR+微絮凝过滤工艺”，处理后的废水全部集聚区内综合利用。</w:t>
                  </w:r>
                </w:p>
                <w:p>
                  <w:pPr>
                    <w:jc w:val="both"/>
                    <w:rPr>
                      <w:rFonts w:hint="eastAsia" w:eastAsia="宋体"/>
                      <w:szCs w:val="21"/>
                      <w:lang w:val="en-US" w:eastAsia="zh-CN"/>
                    </w:rPr>
                  </w:pPr>
                  <w:r>
                    <w:rPr>
                      <w:rFonts w:hint="eastAsia"/>
                      <w:szCs w:val="21"/>
                      <w:lang w:val="en-US" w:eastAsia="zh-CN"/>
                    </w:rPr>
                    <w:t>根据调查，项目所在地目前污水管网尚未铺设。</w:t>
                  </w:r>
                </w:p>
              </w:tc>
              <w:tc>
                <w:tcPr>
                  <w:tcW w:w="189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本项目生产废水循环使用不外排，生活废水经化粪池处理后用吸粪车拉至集聚区污水处理厂处理达标后综合利用；雨水进入集聚区雨水管网</w:t>
                  </w:r>
                  <w:r>
                    <w:rPr>
                      <w:rFonts w:hint="eastAsia" w:ascii="Times New Roman" w:hAnsi="Times New Roman" w:eastAsia="宋体" w:cs="Times New Roman"/>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11" w:type="dxa"/>
                  <w:tcBorders>
                    <w:left w:val="single" w:color="auto" w:sz="4" w:space="0"/>
                    <w:right w:val="single" w:color="auto" w:sz="4" w:space="0"/>
                  </w:tcBorders>
                  <w:vAlign w:val="center"/>
                </w:tcPr>
                <w:p>
                  <w:pPr>
                    <w:pStyle w:val="46"/>
                    <w:jc w:val="center"/>
                    <w:rPr>
                      <w:rFonts w:hint="eastAsia" w:eastAsia="宋体"/>
                      <w:szCs w:val="21"/>
                      <w:lang w:val="en-US" w:eastAsia="zh-CN"/>
                    </w:rPr>
                  </w:pPr>
                  <w:r>
                    <w:rPr>
                      <w:rFonts w:hint="eastAsia"/>
                      <w:szCs w:val="21"/>
                      <w:lang w:val="en-US" w:eastAsia="zh-CN"/>
                    </w:rPr>
                    <w:t>供电</w:t>
                  </w:r>
                </w:p>
              </w:tc>
              <w:tc>
                <w:tcPr>
                  <w:tcW w:w="4570" w:type="dxa"/>
                  <w:tcBorders>
                    <w:left w:val="single" w:color="auto" w:sz="4" w:space="0"/>
                    <w:right w:val="single" w:color="auto" w:sz="4" w:space="0"/>
                  </w:tcBorders>
                  <w:vAlign w:val="center"/>
                </w:tcPr>
                <w:p>
                  <w:pPr>
                    <w:rPr>
                      <w:szCs w:val="21"/>
                    </w:rPr>
                  </w:pPr>
                  <w:r>
                    <w:rPr>
                      <w:rFonts w:hint="eastAsia" w:ascii="Times New Roman" w:hAnsi="Times New Roman" w:eastAsia="宋体" w:cs="Times New Roman"/>
                      <w:kern w:val="2"/>
                      <w:sz w:val="21"/>
                      <w:szCs w:val="21"/>
                      <w:lang w:val="en-US" w:eastAsia="zh-CN" w:bidi="ar-SA"/>
                    </w:rPr>
                    <w:t>规划区用电由辛集220KV变电站、汇源110KV变电站和琴台110KV变电站提供：其中辛集220KV变电站，位置在省道231与琴台路交叉处西南，占地1.60公顷，主变容量2×31.5MVA；琴台110KV变电站，位置在光明路与富强路交叉口东南角，占地0.61公顷，主变容量2×31.5MVA。</w:t>
                  </w:r>
                </w:p>
              </w:tc>
              <w:tc>
                <w:tcPr>
                  <w:tcW w:w="410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szCs w:val="21"/>
                    </w:rPr>
                  </w:pPr>
                  <w:r>
                    <w:rPr>
                      <w:rFonts w:hint="eastAsia" w:ascii="Times New Roman" w:hAnsi="Times New Roman" w:eastAsia="宋体" w:cs="Times New Roman"/>
                      <w:kern w:val="2"/>
                      <w:sz w:val="21"/>
                      <w:szCs w:val="21"/>
                      <w:lang w:val="en-US" w:eastAsia="zh-CN" w:bidi="ar-SA"/>
                    </w:rPr>
                    <w:t>规划区用电由辛集220KV变电站、汇源110KV变电站和琴台110KV变电站提供</w:t>
                  </w:r>
                  <w:r>
                    <w:rPr>
                      <w:rFonts w:hint="eastAsia" w:cs="Times New Roman"/>
                      <w:kern w:val="2"/>
                      <w:sz w:val="21"/>
                      <w:szCs w:val="21"/>
                      <w:lang w:val="en-US" w:eastAsia="zh-CN" w:bidi="ar-SA"/>
                    </w:rPr>
                    <w:t>。</w:t>
                  </w:r>
                </w:p>
              </w:tc>
              <w:tc>
                <w:tcPr>
                  <w:tcW w:w="189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利用租赁厂区内现有供电设施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11" w:type="dxa"/>
                  <w:tcBorders>
                    <w:left w:val="single" w:color="auto" w:sz="4" w:space="0"/>
                    <w:right w:val="single" w:color="auto" w:sz="4" w:space="0"/>
                  </w:tcBorders>
                  <w:vAlign w:val="center"/>
                </w:tcPr>
                <w:p>
                  <w:pPr>
                    <w:pStyle w:val="46"/>
                    <w:jc w:val="center"/>
                    <w:rPr>
                      <w:rFonts w:hint="eastAsia" w:eastAsia="宋体"/>
                      <w:szCs w:val="21"/>
                      <w:lang w:val="en-US" w:eastAsia="zh-CN"/>
                    </w:rPr>
                  </w:pPr>
                  <w:r>
                    <w:rPr>
                      <w:rFonts w:hint="eastAsia"/>
                      <w:szCs w:val="21"/>
                      <w:lang w:val="en-US" w:eastAsia="zh-CN"/>
                    </w:rPr>
                    <w:t>供气</w:t>
                  </w:r>
                </w:p>
              </w:tc>
              <w:tc>
                <w:tcPr>
                  <w:tcW w:w="4570" w:type="dxa"/>
                  <w:tcBorders>
                    <w:left w:val="single" w:color="auto" w:sz="4" w:space="0"/>
                    <w:right w:val="single" w:color="auto" w:sz="4" w:space="0"/>
                  </w:tcBorders>
                  <w:vAlign w:val="center"/>
                </w:tcPr>
                <w:p>
                  <w:pPr>
                    <w:rPr>
                      <w:szCs w:val="21"/>
                    </w:rPr>
                  </w:pPr>
                  <w:r>
                    <w:rPr>
                      <w:rFonts w:hint="eastAsia" w:ascii="Times New Roman" w:hAnsi="Times New Roman" w:eastAsia="宋体" w:cs="Times New Roman"/>
                      <w:kern w:val="2"/>
                      <w:sz w:val="21"/>
                      <w:szCs w:val="21"/>
                      <w:lang w:val="en-US" w:eastAsia="zh-CN" w:bidi="ar-SA"/>
                    </w:rPr>
                    <w:t>鲁山县主城区管道燃气工程的气源为“西气东输”天然气，天然气门站位于规划区西侧。集聚区管道用气由主城区天然气管网延伸供给。</w:t>
                  </w:r>
                </w:p>
              </w:tc>
              <w:tc>
                <w:tcPr>
                  <w:tcW w:w="410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szCs w:val="21"/>
                    </w:rPr>
                  </w:pPr>
                  <w:r>
                    <w:rPr>
                      <w:rFonts w:hint="eastAsia" w:ascii="Times New Roman" w:hAnsi="Times New Roman" w:eastAsia="宋体" w:cs="Times New Roman"/>
                      <w:kern w:val="2"/>
                      <w:sz w:val="21"/>
                      <w:szCs w:val="21"/>
                      <w:lang w:val="en-US" w:eastAsia="zh-CN" w:bidi="ar-SA"/>
                    </w:rPr>
                    <w:t>鲁山县主城区管道燃气工程的气源为“西气东输”天然气，天然气门站位于规划区西侧。集聚区管道用气由主城区天然气管网延伸供给。</w:t>
                  </w:r>
                </w:p>
              </w:tc>
              <w:tc>
                <w:tcPr>
                  <w:tcW w:w="189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本项目使用“西气东输”管道燃气。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511" w:type="dxa"/>
                  <w:tcBorders>
                    <w:left w:val="single" w:color="auto" w:sz="4" w:space="0"/>
                    <w:right w:val="single" w:color="auto" w:sz="4" w:space="0"/>
                  </w:tcBorders>
                  <w:vAlign w:val="center"/>
                </w:tcPr>
                <w:p>
                  <w:pPr>
                    <w:pStyle w:val="46"/>
                    <w:jc w:val="center"/>
                    <w:rPr>
                      <w:rFonts w:hint="eastAsia"/>
                      <w:szCs w:val="21"/>
                      <w:lang w:val="en-US" w:eastAsia="zh-CN"/>
                    </w:rPr>
                  </w:pPr>
                  <w:r>
                    <w:rPr>
                      <w:rFonts w:hint="eastAsia"/>
                      <w:szCs w:val="21"/>
                      <w:lang w:val="en-US" w:eastAsia="zh-CN"/>
                    </w:rPr>
                    <w:t>供热</w:t>
                  </w:r>
                </w:p>
              </w:tc>
              <w:tc>
                <w:tcPr>
                  <w:tcW w:w="4570" w:type="dxa"/>
                  <w:tcBorders>
                    <w:left w:val="single" w:color="auto" w:sz="4" w:space="0"/>
                    <w:right w:val="single" w:color="auto" w:sz="4" w:space="0"/>
                  </w:tcBorders>
                  <w:vAlign w:val="center"/>
                </w:tcPr>
                <w:p>
                  <w:pPr>
                    <w:rPr>
                      <w:szCs w:val="21"/>
                    </w:rPr>
                  </w:pPr>
                  <w:r>
                    <w:rPr>
                      <w:rFonts w:hint="eastAsia" w:ascii="Times New Roman" w:hAnsi="Times New Roman" w:eastAsia="宋体" w:cs="Times New Roman"/>
                      <w:kern w:val="2"/>
                      <w:sz w:val="21"/>
                      <w:szCs w:val="21"/>
                      <w:lang w:val="en-US" w:eastAsia="zh-CN" w:bidi="ar-SA"/>
                    </w:rPr>
                    <w:t>本规划区以区域锅炉房为集中供热的热源，以蒸汽为热介质，采取区域锅炉房的方式，实行集中供热，区域锅炉房位于产业集聚区兴国路与经二路交叉口东北，用地面积0.68公顷。</w:t>
                  </w:r>
                </w:p>
              </w:tc>
              <w:tc>
                <w:tcPr>
                  <w:tcW w:w="410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目前规划区内无集中供热热源。</w:t>
                  </w:r>
                </w:p>
              </w:tc>
              <w:tc>
                <w:tcPr>
                  <w:tcW w:w="189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center"/>
                    <w:rPr>
                      <w:rFonts w:hint="eastAsia" w:eastAsia="宋体"/>
                      <w:szCs w:val="21"/>
                      <w:lang w:val="en-US" w:eastAsia="zh-CN"/>
                    </w:rPr>
                  </w:pPr>
                  <w:r>
                    <w:rPr>
                      <w:rFonts w:hint="eastAsia"/>
                      <w:szCs w:val="21"/>
                      <w:lang w:val="en-US" w:eastAsia="zh-CN"/>
                    </w:rPr>
                    <w:t>无生产供热，办公室采用冷暖空调。</w:t>
                  </w:r>
                </w:p>
              </w:tc>
            </w:tr>
          </w:tbl>
          <w:p>
            <w:pPr>
              <w:autoSpaceDE w:val="0"/>
              <w:autoSpaceDN w:val="0"/>
              <w:adjustRightInd w:val="0"/>
              <w:snapToGrid w:val="0"/>
              <w:spacing w:line="120" w:lineRule="exact"/>
              <w:rPr>
                <w:rFonts w:cs="宋体"/>
                <w:kern w:val="0"/>
                <w:sz w:val="24"/>
              </w:rPr>
            </w:pPr>
          </w:p>
        </w:tc>
      </w:tr>
    </w:tbl>
    <w:p>
      <w:pPr>
        <w:pStyle w:val="7"/>
        <w:sectPr>
          <w:pgSz w:w="16838" w:h="11906" w:orient="landscape"/>
          <w:pgMar w:top="1531" w:right="1701" w:bottom="1531" w:left="1701" w:header="851" w:footer="1077" w:gutter="0"/>
          <w:cols w:space="720" w:num="1"/>
          <w:docGrid w:linePitch="312" w:charSpace="0"/>
        </w:sectPr>
      </w:pPr>
    </w:p>
    <w:tbl>
      <w:tblPr>
        <w:tblStyle w:val="26"/>
        <w:tblW w:w="887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23"/>
        <w:gridCol w:w="66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2223" w:type="dxa"/>
            <w:vAlign w:val="center"/>
          </w:tcPr>
          <w:p>
            <w:pPr>
              <w:autoSpaceDE w:val="0"/>
              <w:autoSpaceDN w:val="0"/>
              <w:adjustRightInd w:val="0"/>
              <w:snapToGrid w:val="0"/>
              <w:jc w:val="center"/>
            </w:pPr>
          </w:p>
          <w:p>
            <w:pPr>
              <w:pStyle w:val="7"/>
            </w:pPr>
          </w:p>
          <w:p>
            <w:pPr>
              <w:pStyle w:val="7"/>
            </w:pPr>
          </w:p>
          <w:p>
            <w:pPr>
              <w:pStyle w:val="7"/>
            </w:pPr>
          </w:p>
          <w:p>
            <w:pPr>
              <w:autoSpaceDE w:val="0"/>
              <w:autoSpaceDN w:val="0"/>
              <w:adjustRightInd w:val="0"/>
              <w:snapToGrid w:val="0"/>
              <w:jc w:val="center"/>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15"/>
            </w:pPr>
          </w:p>
          <w:p>
            <w:pPr>
              <w:pStyle w:val="15"/>
            </w:pPr>
          </w:p>
          <w:p>
            <w:pPr>
              <w:pStyle w:val="15"/>
            </w:pPr>
          </w:p>
          <w:p>
            <w:pPr>
              <w:pStyle w:val="15"/>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15"/>
            </w:pPr>
          </w:p>
          <w:p>
            <w:pPr>
              <w:pStyle w:val="15"/>
            </w:pPr>
          </w:p>
          <w:p>
            <w:pPr>
              <w:pStyle w:val="15"/>
            </w:pPr>
          </w:p>
          <w:p>
            <w:pPr>
              <w:autoSpaceDE w:val="0"/>
              <w:autoSpaceDN w:val="0"/>
              <w:adjustRightInd w:val="0"/>
              <w:snapToGrid w:val="0"/>
              <w:jc w:val="center"/>
            </w:pPr>
          </w:p>
          <w:p>
            <w:pPr>
              <w:autoSpaceDE w:val="0"/>
              <w:autoSpaceDN w:val="0"/>
              <w:adjustRightInd w:val="0"/>
              <w:snapToGrid w:val="0"/>
              <w:jc w:val="center"/>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pStyle w:val="7"/>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7"/>
              <w:ind w:firstLine="240"/>
              <w:rPr>
                <w:rFonts w:cs="宋体"/>
                <w:kern w:val="0"/>
                <w:sz w:val="24"/>
              </w:rPr>
            </w:pPr>
          </w:p>
        </w:tc>
        <w:tc>
          <w:tcPr>
            <w:tcW w:w="6647" w:type="dxa"/>
            <w:vAlign w:val="center"/>
          </w:tcPr>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 xml:space="preserve">1 </w:t>
            </w:r>
            <w:r>
              <w:rPr>
                <w:rFonts w:cs="宋体"/>
                <w:b/>
                <w:bCs/>
                <w:kern w:val="0"/>
                <w:sz w:val="24"/>
              </w:rPr>
              <w:t>与《</w:t>
            </w:r>
            <w:r>
              <w:rPr>
                <w:rFonts w:hint="eastAsia" w:cs="宋体"/>
                <w:b/>
                <w:bCs/>
                <w:kern w:val="0"/>
                <w:sz w:val="24"/>
              </w:rPr>
              <w:t>平顶山市</w:t>
            </w:r>
            <w:r>
              <w:rPr>
                <w:rFonts w:cs="宋体"/>
                <w:b/>
                <w:bCs/>
                <w:kern w:val="0"/>
                <w:sz w:val="24"/>
              </w:rPr>
              <w:t>人民政府关于实施</w:t>
            </w:r>
            <w:r>
              <w:rPr>
                <w:rFonts w:hint="eastAsia" w:cs="宋体"/>
                <w:b/>
                <w:bCs/>
                <w:kern w:val="0"/>
                <w:sz w:val="24"/>
              </w:rPr>
              <w:t>“</w:t>
            </w:r>
            <w:r>
              <w:rPr>
                <w:rFonts w:cs="宋体"/>
                <w:b/>
                <w:bCs/>
                <w:kern w:val="0"/>
                <w:sz w:val="24"/>
              </w:rPr>
              <w:t>三线一单</w:t>
            </w:r>
            <w:r>
              <w:rPr>
                <w:rFonts w:hint="eastAsia" w:cs="宋体"/>
                <w:b/>
                <w:bCs/>
                <w:kern w:val="0"/>
                <w:sz w:val="24"/>
              </w:rPr>
              <w:t>”</w:t>
            </w:r>
            <w:r>
              <w:rPr>
                <w:rFonts w:cs="宋体"/>
                <w:b/>
                <w:bCs/>
                <w:kern w:val="0"/>
                <w:sz w:val="24"/>
              </w:rPr>
              <w:t>生态环境分区管控的意见》（</w:t>
            </w:r>
            <w:r>
              <w:rPr>
                <w:rFonts w:hint="eastAsia" w:cs="宋体"/>
                <w:b/>
                <w:bCs/>
                <w:kern w:val="0"/>
                <w:sz w:val="24"/>
              </w:rPr>
              <w:t>平</w:t>
            </w:r>
            <w:r>
              <w:rPr>
                <w:rFonts w:cs="宋体"/>
                <w:b/>
                <w:bCs/>
                <w:kern w:val="0"/>
                <w:sz w:val="24"/>
              </w:rPr>
              <w:t>政</w:t>
            </w:r>
            <w:r>
              <w:rPr>
                <w:rFonts w:hint="eastAsia" w:cs="宋体"/>
                <w:b/>
                <w:bCs/>
                <w:kern w:val="0"/>
                <w:sz w:val="24"/>
              </w:rPr>
              <w:t>〔2021〕10</w:t>
            </w:r>
            <w:r>
              <w:rPr>
                <w:rFonts w:cs="宋体"/>
                <w:b/>
                <w:bCs/>
                <w:kern w:val="0"/>
                <w:sz w:val="24"/>
              </w:rPr>
              <w:t>号）相符性分析</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2021</w:t>
            </w:r>
            <w:r>
              <w:rPr>
                <w:rFonts w:cs="宋体"/>
                <w:kern w:val="0"/>
                <w:sz w:val="24"/>
              </w:rPr>
              <w:t>年</w:t>
            </w:r>
            <w:r>
              <w:rPr>
                <w:rFonts w:hint="eastAsia" w:cs="宋体"/>
                <w:kern w:val="0"/>
                <w:sz w:val="24"/>
              </w:rPr>
              <w:t>6</w:t>
            </w:r>
            <w:r>
              <w:rPr>
                <w:rFonts w:cs="宋体"/>
                <w:kern w:val="0"/>
                <w:sz w:val="24"/>
              </w:rPr>
              <w:t>月</w:t>
            </w:r>
            <w:r>
              <w:rPr>
                <w:rFonts w:hint="eastAsia" w:cs="宋体"/>
                <w:kern w:val="0"/>
                <w:sz w:val="24"/>
              </w:rPr>
              <w:t>18</w:t>
            </w:r>
            <w:r>
              <w:rPr>
                <w:rFonts w:cs="宋体"/>
                <w:kern w:val="0"/>
                <w:sz w:val="24"/>
              </w:rPr>
              <w:t>日</w:t>
            </w:r>
            <w:r>
              <w:rPr>
                <w:rFonts w:hint="eastAsia" w:cs="宋体"/>
                <w:kern w:val="0"/>
                <w:sz w:val="24"/>
              </w:rPr>
              <w:t>平顶山市人民政府</w:t>
            </w:r>
            <w:r>
              <w:rPr>
                <w:rFonts w:cs="宋体"/>
                <w:kern w:val="0"/>
                <w:sz w:val="24"/>
              </w:rPr>
              <w:t>发布了《</w:t>
            </w:r>
            <w:r>
              <w:rPr>
                <w:rFonts w:hint="eastAsia" w:cs="宋体"/>
                <w:kern w:val="0"/>
                <w:sz w:val="24"/>
              </w:rPr>
              <w:t>平顶山市</w:t>
            </w:r>
            <w:r>
              <w:rPr>
                <w:rFonts w:cs="宋体"/>
                <w:kern w:val="0"/>
                <w:sz w:val="24"/>
              </w:rPr>
              <w:t>人民政府关于实施</w:t>
            </w:r>
            <w:r>
              <w:rPr>
                <w:rFonts w:hint="eastAsia" w:cs="宋体"/>
                <w:kern w:val="0"/>
                <w:sz w:val="24"/>
              </w:rPr>
              <w:t>“</w:t>
            </w:r>
            <w:r>
              <w:rPr>
                <w:rFonts w:cs="宋体"/>
                <w:kern w:val="0"/>
                <w:sz w:val="24"/>
              </w:rPr>
              <w:t>三线一单</w:t>
            </w:r>
            <w:r>
              <w:rPr>
                <w:rFonts w:hint="eastAsia" w:cs="宋体"/>
                <w:kern w:val="0"/>
                <w:sz w:val="24"/>
              </w:rPr>
              <w:t>”</w:t>
            </w:r>
            <w:r>
              <w:rPr>
                <w:rFonts w:cs="宋体"/>
                <w:kern w:val="0"/>
                <w:sz w:val="24"/>
              </w:rPr>
              <w:t>生态环境分区管控的意见》</w:t>
            </w:r>
            <w:r>
              <w:rPr>
                <w:rFonts w:hint="eastAsia" w:cs="宋体"/>
                <w:kern w:val="0"/>
                <w:sz w:val="24"/>
              </w:rPr>
              <w:t>（平政〔2021〕10号）</w:t>
            </w:r>
            <w:r>
              <w:rPr>
                <w:rFonts w:cs="宋体"/>
                <w:kern w:val="0"/>
                <w:sz w:val="24"/>
              </w:rPr>
              <w:t>，相关内容及相符性分析介绍如下：</w:t>
            </w:r>
          </w:p>
          <w:p>
            <w:pPr>
              <w:autoSpaceDE w:val="0"/>
              <w:autoSpaceDN w:val="0"/>
              <w:adjustRightInd w:val="0"/>
              <w:snapToGrid w:val="0"/>
              <w:spacing w:line="360" w:lineRule="auto"/>
              <w:ind w:firstLine="480" w:firstLineChars="200"/>
              <w:rPr>
                <w:rFonts w:cs="宋体"/>
                <w:kern w:val="0"/>
                <w:sz w:val="24"/>
              </w:rPr>
            </w:pPr>
            <w:r>
              <w:rPr>
                <w:rFonts w:cs="宋体"/>
                <w:kern w:val="0"/>
                <w:sz w:val="24"/>
              </w:rPr>
              <w:t>（1）总体目标</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到</w:t>
            </w:r>
            <w:r>
              <w:rPr>
                <w:rFonts w:cs="宋体"/>
                <w:kern w:val="0"/>
                <w:sz w:val="24"/>
              </w:rPr>
              <w:t>2025年，国土空间开发保护格局得到优化，生产生活方式绿色转型成效显著，能源资源配置更加合理、利用效率大幅提高，主要污染物排放总量持续减少，生态环境质量持续改善，生态安全屏障更加牢固，城乡人居环境明显改善。</w:t>
            </w:r>
          </w:p>
          <w:p>
            <w:pPr>
              <w:autoSpaceDE w:val="0"/>
              <w:autoSpaceDN w:val="0"/>
              <w:adjustRightInd w:val="0"/>
              <w:snapToGrid w:val="0"/>
              <w:spacing w:line="360" w:lineRule="auto"/>
              <w:ind w:firstLine="480" w:firstLineChars="200"/>
              <w:rPr>
                <w:rFonts w:cs="宋体"/>
                <w:kern w:val="0"/>
                <w:sz w:val="24"/>
              </w:rPr>
            </w:pPr>
            <w:r>
              <w:rPr>
                <w:rFonts w:cs="宋体"/>
                <w:kern w:val="0"/>
                <w:sz w:val="24"/>
              </w:rPr>
              <w:t>到2035年，节约资源和保护生态环境的空间格局、生产方式、生活方式总体形成，产业、能源、运输和用地结构得到优化，生态环境质量实现根本好转，</w:t>
            </w:r>
            <w:r>
              <w:rPr>
                <w:rFonts w:hint="eastAsia" w:cs="宋体"/>
                <w:kern w:val="0"/>
                <w:sz w:val="24"/>
              </w:rPr>
              <w:t>生态强市、美丽鹰城</w:t>
            </w:r>
            <w:r>
              <w:rPr>
                <w:rFonts w:cs="宋体"/>
                <w:kern w:val="0"/>
                <w:sz w:val="24"/>
              </w:rPr>
              <w:t>建设目标基本实现。</w:t>
            </w:r>
          </w:p>
          <w:p>
            <w:pPr>
              <w:autoSpaceDE w:val="0"/>
              <w:autoSpaceDN w:val="0"/>
              <w:adjustRightInd w:val="0"/>
              <w:snapToGrid w:val="0"/>
              <w:spacing w:line="360" w:lineRule="auto"/>
              <w:ind w:firstLine="480" w:firstLineChars="200"/>
              <w:rPr>
                <w:rFonts w:cs="宋体"/>
                <w:kern w:val="0"/>
                <w:sz w:val="24"/>
              </w:rPr>
            </w:pPr>
            <w:r>
              <w:rPr>
                <w:rFonts w:cs="宋体"/>
                <w:kern w:val="0"/>
                <w:sz w:val="24"/>
              </w:rPr>
              <w:t>（2）主要内容</w:t>
            </w:r>
          </w:p>
          <w:p>
            <w:pPr>
              <w:autoSpaceDE w:val="0"/>
              <w:autoSpaceDN w:val="0"/>
              <w:adjustRightInd w:val="0"/>
              <w:snapToGrid w:val="0"/>
              <w:spacing w:line="360" w:lineRule="auto"/>
              <w:ind w:firstLine="480" w:firstLineChars="200"/>
              <w:rPr>
                <w:rFonts w:cs="宋体"/>
                <w:kern w:val="0"/>
                <w:sz w:val="24"/>
              </w:rPr>
            </w:pPr>
            <w:r>
              <w:rPr>
                <w:rFonts w:cs="宋体"/>
                <w:kern w:val="0"/>
                <w:sz w:val="24"/>
              </w:rPr>
              <w:t>①划分生态环境管控单元。按照生态保护红线、环境质量底线、资源利用上线等相关要求，划定全</w:t>
            </w:r>
            <w:r>
              <w:rPr>
                <w:rFonts w:hint="eastAsia" w:cs="宋体"/>
                <w:kern w:val="0"/>
                <w:sz w:val="24"/>
              </w:rPr>
              <w:t>市</w:t>
            </w:r>
            <w:r>
              <w:rPr>
                <w:rFonts w:cs="宋体"/>
                <w:kern w:val="0"/>
                <w:sz w:val="24"/>
              </w:rPr>
              <w:t>优先保护单元、重点管控单元和一般管控单元三类生态环境管控单元，并实施分类管控。为确保政策协同，划定的各类生态环境管控单元的数量、面积和地域分布依照国土空间规划明确的空间格局、约束性指标等调整确定。</w:t>
            </w:r>
          </w:p>
          <w:p>
            <w:pPr>
              <w:autoSpaceDE w:val="0"/>
              <w:autoSpaceDN w:val="0"/>
              <w:adjustRightInd w:val="0"/>
              <w:snapToGrid w:val="0"/>
              <w:spacing w:line="360" w:lineRule="auto"/>
              <w:ind w:firstLine="480" w:firstLineChars="200"/>
              <w:rPr>
                <w:rFonts w:cs="宋体"/>
                <w:kern w:val="0"/>
                <w:sz w:val="24"/>
              </w:rPr>
            </w:pPr>
            <w:r>
              <w:rPr>
                <w:rFonts w:cs="宋体"/>
                <w:kern w:val="0"/>
                <w:sz w:val="24"/>
              </w:rPr>
              <w:t>优先保护单元指具有一定生态功能、以生态环境保护为主的区域。突出空间用途管控，以生态环境保护优先为原则，依法禁止或限制有关开发建设活动，优先开展生态保护修复，提高生态系统服务功能，确保生态环境功能不降低。</w:t>
            </w:r>
          </w:p>
          <w:p>
            <w:pPr>
              <w:autoSpaceDE w:val="0"/>
              <w:autoSpaceDN w:val="0"/>
              <w:adjustRightInd w:val="0"/>
              <w:snapToGrid w:val="0"/>
              <w:spacing w:line="360" w:lineRule="auto"/>
              <w:ind w:firstLine="480" w:firstLineChars="200"/>
              <w:rPr>
                <w:rFonts w:cs="宋体"/>
                <w:kern w:val="0"/>
                <w:sz w:val="24"/>
              </w:rPr>
            </w:pPr>
            <w:r>
              <w:rPr>
                <w:rFonts w:cs="宋体"/>
                <w:kern w:val="0"/>
                <w:sz w:val="24"/>
              </w:rPr>
              <w:t>重点管控单元指人口密集、资源开发强度较大、污染物排放强度相对较高的区域。主要推动空间布局优化和产业结构转型升级，深化污染治理，提高资源利用效率，减少污染物排放，防控生态环境风险，守住环境质量底线。</w:t>
            </w:r>
          </w:p>
          <w:p>
            <w:pPr>
              <w:autoSpaceDE w:val="0"/>
              <w:autoSpaceDN w:val="0"/>
              <w:adjustRightInd w:val="0"/>
              <w:snapToGrid w:val="0"/>
              <w:spacing w:line="360" w:lineRule="auto"/>
              <w:ind w:firstLine="480" w:firstLineChars="200"/>
              <w:rPr>
                <w:rFonts w:cs="宋体"/>
                <w:kern w:val="0"/>
                <w:sz w:val="24"/>
              </w:rPr>
            </w:pPr>
            <w:r>
              <w:rPr>
                <w:rFonts w:cs="宋体"/>
                <w:kern w:val="0"/>
                <w:sz w:val="24"/>
              </w:rPr>
              <w:t>一般管控单元指除优先保护单元</w:t>
            </w:r>
            <w:r>
              <w:rPr>
                <w:rFonts w:hint="eastAsia" w:cs="宋体"/>
                <w:kern w:val="0"/>
                <w:sz w:val="24"/>
              </w:rPr>
              <w:t>和</w:t>
            </w:r>
            <w:r>
              <w:rPr>
                <w:rFonts w:cs="宋体"/>
                <w:kern w:val="0"/>
                <w:sz w:val="24"/>
              </w:rPr>
              <w:t>重点管控单元</w:t>
            </w:r>
            <w:r>
              <w:rPr>
                <w:rFonts w:hint="eastAsia" w:cs="宋体"/>
                <w:kern w:val="0"/>
                <w:sz w:val="24"/>
              </w:rPr>
              <w:t>之</w:t>
            </w:r>
            <w:r>
              <w:rPr>
                <w:rFonts w:cs="宋体"/>
                <w:kern w:val="0"/>
                <w:sz w:val="24"/>
              </w:rPr>
              <w:t>外的其他区域。主要落实生态环境保护的基本要求，生态环境状况得到保持或优化。</w:t>
            </w:r>
          </w:p>
          <w:p>
            <w:pPr>
              <w:autoSpaceDE w:val="0"/>
              <w:autoSpaceDN w:val="0"/>
              <w:adjustRightInd w:val="0"/>
              <w:snapToGrid w:val="0"/>
              <w:spacing w:line="360" w:lineRule="auto"/>
              <w:ind w:firstLine="480" w:firstLineChars="200"/>
              <w:rPr>
                <w:rFonts w:cs="宋体"/>
                <w:kern w:val="0"/>
                <w:sz w:val="24"/>
              </w:rPr>
            </w:pPr>
            <w:r>
              <w:rPr>
                <w:rFonts w:cs="宋体"/>
                <w:kern w:val="0"/>
                <w:sz w:val="24"/>
              </w:rPr>
              <w:t>②制定生态环境准入清单。基于生态环境管控单元，统筹考虑生态保护红线、环境质量底线、资源利用上线等要求，从优化空间布局、管控污染物排放、防控生态环境风险、提高资源利用效率等方面提出管控要求，分类制定生态环境准入清单。优先保护单元依法禁止或限制大规模、高强度的工业和城镇建设，在功能受损的优先保护单元优先开展生态保护修复活动，恢复生态系统服务功能。重点管控单元有针对性地加强污染物排放控制和环境风险防控，解决生态环境质量不达标、生态环境风险高等问题。建立</w:t>
            </w:r>
            <w:r>
              <w:rPr>
                <w:rFonts w:hint="eastAsia" w:cs="宋体"/>
                <w:kern w:val="0"/>
                <w:sz w:val="24"/>
              </w:rPr>
              <w:t>“</w:t>
            </w:r>
            <w:r>
              <w:rPr>
                <w:rFonts w:cs="宋体"/>
                <w:kern w:val="0"/>
                <w:sz w:val="24"/>
              </w:rPr>
              <w:t>1+10+N</w:t>
            </w:r>
            <w:r>
              <w:rPr>
                <w:rFonts w:hint="eastAsia" w:cs="宋体"/>
                <w:kern w:val="0"/>
                <w:sz w:val="24"/>
              </w:rPr>
              <w:t>”</w:t>
            </w:r>
            <w:r>
              <w:rPr>
                <w:rFonts w:cs="宋体"/>
                <w:kern w:val="0"/>
                <w:sz w:val="24"/>
              </w:rPr>
              <w:t>生态环境准入清单管控体系，</w:t>
            </w:r>
            <w:r>
              <w:rPr>
                <w:rFonts w:hint="eastAsia" w:cs="宋体"/>
                <w:kern w:val="0"/>
                <w:sz w:val="24"/>
              </w:rPr>
              <w:t>“</w:t>
            </w:r>
            <w:r>
              <w:rPr>
                <w:rFonts w:cs="宋体"/>
                <w:kern w:val="0"/>
                <w:sz w:val="24"/>
              </w:rPr>
              <w:t>1</w:t>
            </w:r>
            <w:r>
              <w:rPr>
                <w:rFonts w:hint="eastAsia" w:cs="宋体"/>
                <w:kern w:val="0"/>
                <w:sz w:val="24"/>
              </w:rPr>
              <w:t>”</w:t>
            </w:r>
            <w:r>
              <w:rPr>
                <w:rFonts w:cs="宋体"/>
                <w:kern w:val="0"/>
                <w:sz w:val="24"/>
              </w:rPr>
              <w:t>为全市生态环境总体准入要求</w:t>
            </w:r>
            <w:r>
              <w:rPr>
                <w:rFonts w:hint="eastAsia" w:cs="宋体"/>
                <w:kern w:val="0"/>
                <w:sz w:val="24"/>
              </w:rPr>
              <w:t>；“</w:t>
            </w:r>
            <w:r>
              <w:rPr>
                <w:rFonts w:cs="宋体"/>
                <w:kern w:val="0"/>
                <w:sz w:val="24"/>
              </w:rPr>
              <w:t>10</w:t>
            </w:r>
            <w:r>
              <w:rPr>
                <w:rFonts w:hint="eastAsia" w:cs="宋体"/>
                <w:kern w:val="0"/>
                <w:sz w:val="24"/>
              </w:rPr>
              <w:t>”</w:t>
            </w:r>
            <w:r>
              <w:rPr>
                <w:rFonts w:cs="宋体"/>
                <w:kern w:val="0"/>
                <w:sz w:val="24"/>
              </w:rPr>
              <w:t>为县</w:t>
            </w:r>
            <w:r>
              <w:rPr>
                <w:rFonts w:hint="eastAsia" w:cs="宋体"/>
                <w:kern w:val="0"/>
                <w:sz w:val="24"/>
              </w:rPr>
              <w:t>（</w:t>
            </w:r>
            <w:r>
              <w:rPr>
                <w:rFonts w:cs="宋体"/>
                <w:kern w:val="0"/>
                <w:sz w:val="24"/>
              </w:rPr>
              <w:t>市、区</w:t>
            </w:r>
            <w:r>
              <w:rPr>
                <w:rFonts w:hint="eastAsia" w:cs="宋体"/>
                <w:kern w:val="0"/>
                <w:sz w:val="24"/>
              </w:rPr>
              <w:t>）</w:t>
            </w:r>
            <w:r>
              <w:rPr>
                <w:rFonts w:cs="宋体"/>
                <w:kern w:val="0"/>
                <w:sz w:val="24"/>
              </w:rPr>
              <w:t>生态环境准入要求</w:t>
            </w:r>
            <w:r>
              <w:rPr>
                <w:rFonts w:hint="eastAsia" w:cs="宋体"/>
                <w:kern w:val="0"/>
                <w:sz w:val="24"/>
              </w:rPr>
              <w:t>；“</w:t>
            </w:r>
            <w:r>
              <w:rPr>
                <w:rFonts w:cs="宋体"/>
                <w:kern w:val="0"/>
                <w:sz w:val="24"/>
              </w:rPr>
              <w:t>N</w:t>
            </w:r>
            <w:r>
              <w:rPr>
                <w:rFonts w:hint="eastAsia" w:cs="宋体"/>
                <w:kern w:val="0"/>
                <w:sz w:val="24"/>
              </w:rPr>
              <w:t>”</w:t>
            </w:r>
            <w:r>
              <w:rPr>
                <w:rFonts w:cs="宋体"/>
                <w:kern w:val="0"/>
                <w:sz w:val="24"/>
              </w:rPr>
              <w:t>为生态环境管控单元准入清单。</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鲁山县生态保护红线管控单元编码为ZH41042310001，主要包括昭平湖风景名胜区、画眉谷风景名胜区、石人山风景名胜区、河南尧山国家地质公园、平顶山市白龟山水库、河南平顶山白龟山湿地省级自然保护区、河南伏牛山国家级自然保护区石人山管理区、地方重点公益林、国家二级公益林、地方一般公益林、源头水保护区-沙河、平顶山市白龟山水库。本项目位于鲁山县产业集聚区北区，不在鲁山县生态保护红线范围之内。</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本项目位于鲁山县产业集聚区北区，为重点管控单元，编码为ZH41042320001，该管控单元的管控要求以及本项目与有关要求的相符性见表1-</w:t>
            </w:r>
            <w:r>
              <w:rPr>
                <w:rFonts w:hint="eastAsia" w:cs="宋体"/>
                <w:kern w:val="0"/>
                <w:sz w:val="24"/>
                <w:lang w:val="en-US" w:eastAsia="zh-CN"/>
              </w:rPr>
              <w:t>3</w:t>
            </w:r>
            <w:r>
              <w:rPr>
                <w:rFonts w:hint="eastAsia" w:cs="宋体"/>
                <w:kern w:val="0"/>
                <w:sz w:val="24"/>
              </w:rPr>
              <w:t>。</w:t>
            </w:r>
          </w:p>
          <w:p>
            <w:pPr>
              <w:pStyle w:val="15"/>
              <w:rPr>
                <w:rFonts w:ascii="Times New Roman" w:hAnsi="Times New Roman" w:cs="宋体"/>
                <w:kern w:val="0"/>
                <w:sz w:val="24"/>
              </w:rPr>
            </w:pPr>
          </w:p>
          <w:p>
            <w:pPr>
              <w:pStyle w:val="15"/>
              <w:rPr>
                <w:rFonts w:ascii="Times New Roman" w:hAnsi="Times New Roman" w:cs="宋体"/>
                <w:kern w:val="0"/>
                <w:sz w:val="24"/>
              </w:rPr>
            </w:pPr>
          </w:p>
          <w:p>
            <w:pPr>
              <w:pStyle w:val="15"/>
              <w:rPr>
                <w:rFonts w:ascii="Times New Roman" w:hAnsi="Times New Roman" w:cs="宋体"/>
                <w:kern w:val="0"/>
                <w:sz w:val="24"/>
              </w:rPr>
            </w:pPr>
          </w:p>
          <w:p>
            <w:pPr>
              <w:autoSpaceDE w:val="0"/>
              <w:autoSpaceDN w:val="0"/>
              <w:adjustRightInd w:val="0"/>
              <w:snapToGrid w:val="0"/>
              <w:spacing w:line="120" w:lineRule="exact"/>
              <w:rPr>
                <w:rFonts w:cs="宋体"/>
                <w:kern w:val="0"/>
                <w:sz w:val="24"/>
              </w:rPr>
            </w:pPr>
          </w:p>
        </w:tc>
      </w:tr>
    </w:tbl>
    <w:p>
      <w:pPr>
        <w:pStyle w:val="7"/>
        <w:sectPr>
          <w:pgSz w:w="11906" w:h="16838"/>
          <w:pgMar w:top="1701" w:right="1531" w:bottom="1701" w:left="1531" w:header="851" w:footer="1077" w:gutter="0"/>
          <w:cols w:space="720" w:num="1"/>
          <w:docGrid w:linePitch="312" w:charSpace="0"/>
        </w:sectPr>
      </w:pPr>
    </w:p>
    <w:tbl>
      <w:tblPr>
        <w:tblStyle w:val="26"/>
        <w:tblW w:w="1365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52"/>
        <w:gridCol w:w="116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52" w:type="dxa"/>
            <w:vAlign w:val="center"/>
          </w:tcPr>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7"/>
              <w:ind w:firstLine="240"/>
              <w:rPr>
                <w:rFonts w:cs="宋体"/>
                <w:kern w:val="0"/>
                <w:sz w:val="24"/>
              </w:rPr>
            </w:pPr>
          </w:p>
          <w:p>
            <w:pPr>
              <w:pStyle w:val="7"/>
              <w:ind w:firstLine="240"/>
              <w:rPr>
                <w:rFonts w:cs="宋体"/>
                <w:kern w:val="0"/>
                <w:sz w:val="24"/>
              </w:rPr>
            </w:pPr>
          </w:p>
        </w:tc>
        <w:tc>
          <w:tcPr>
            <w:tcW w:w="11600" w:type="dxa"/>
            <w:vAlign w:val="center"/>
          </w:tcPr>
          <w:p>
            <w:pPr>
              <w:pStyle w:val="44"/>
              <w:tabs>
                <w:tab w:val="left" w:pos="895"/>
                <w:tab w:val="clear" w:pos="1322"/>
              </w:tabs>
              <w:spacing w:line="360" w:lineRule="auto"/>
              <w:rPr>
                <w:rFonts w:eastAsia="宋体"/>
                <w:sz w:val="24"/>
                <w:szCs w:val="24"/>
              </w:rPr>
            </w:pPr>
            <w:r>
              <w:rPr>
                <w:rFonts w:hint="eastAsia" w:eastAsia="宋体"/>
                <w:sz w:val="24"/>
                <w:szCs w:val="24"/>
              </w:rPr>
              <w:t>表1-</w:t>
            </w:r>
            <w:r>
              <w:rPr>
                <w:rFonts w:hint="eastAsia" w:eastAsia="宋体"/>
                <w:sz w:val="24"/>
                <w:szCs w:val="24"/>
                <w:lang w:val="en-US" w:eastAsia="zh-CN"/>
              </w:rPr>
              <w:t>3</w:t>
            </w:r>
            <w:r>
              <w:rPr>
                <w:rFonts w:hint="eastAsia" w:eastAsia="宋体"/>
                <w:sz w:val="24"/>
                <w:szCs w:val="24"/>
              </w:rPr>
              <w:t xml:space="preserve">    环境管控单元生态环境准入清单</w:t>
            </w:r>
          </w:p>
          <w:tbl>
            <w:tblPr>
              <w:tblStyle w:val="26"/>
              <w:tblW w:w="113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7"/>
              <w:gridCol w:w="934"/>
              <w:gridCol w:w="589"/>
              <w:gridCol w:w="5261"/>
              <w:gridCol w:w="2966"/>
              <w:gridCol w:w="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tblHeader/>
                <w:jc w:val="center"/>
              </w:trPr>
              <w:tc>
                <w:tcPr>
                  <w:tcW w:w="91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b/>
                      <w:bCs/>
                      <w:szCs w:val="21"/>
                    </w:rPr>
                  </w:pPr>
                  <w:r>
                    <w:rPr>
                      <w:rFonts w:hint="eastAsia"/>
                      <w:b/>
                      <w:bCs/>
                      <w:szCs w:val="21"/>
                    </w:rPr>
                    <w:t>环境管控单元编码</w:t>
                  </w:r>
                </w:p>
              </w:tc>
              <w:tc>
                <w:tcPr>
                  <w:tcW w:w="934"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b/>
                      <w:bCs/>
                      <w:szCs w:val="21"/>
                    </w:rPr>
                  </w:pPr>
                  <w:r>
                    <w:rPr>
                      <w:rFonts w:hint="eastAsia"/>
                      <w:b/>
                      <w:bCs/>
                      <w:szCs w:val="21"/>
                    </w:rPr>
                    <w:t>环境管控单元名称</w:t>
                  </w:r>
                </w:p>
              </w:tc>
              <w:tc>
                <w:tcPr>
                  <w:tcW w:w="5850" w:type="dxa"/>
                  <w:gridSpan w:val="2"/>
                  <w:tcBorders>
                    <w:top w:val="single" w:color="auto" w:sz="4" w:space="0"/>
                    <w:left w:val="single" w:color="auto" w:sz="4" w:space="0"/>
                    <w:bottom w:val="single" w:color="auto" w:sz="4" w:space="0"/>
                    <w:right w:val="single" w:color="auto" w:sz="4" w:space="0"/>
                  </w:tcBorders>
                  <w:vAlign w:val="center"/>
                </w:tcPr>
                <w:p>
                  <w:pPr>
                    <w:pStyle w:val="46"/>
                    <w:rPr>
                      <w:b/>
                      <w:bCs/>
                      <w:szCs w:val="21"/>
                    </w:rPr>
                  </w:pPr>
                  <w:r>
                    <w:rPr>
                      <w:rFonts w:hint="eastAsia"/>
                      <w:b/>
                      <w:bCs/>
                      <w:szCs w:val="21"/>
                    </w:rPr>
                    <w:t>管控要求</w:t>
                  </w:r>
                </w:p>
              </w:tc>
              <w:tc>
                <w:tcPr>
                  <w:tcW w:w="2966" w:type="dxa"/>
                  <w:tcBorders>
                    <w:top w:val="single" w:color="auto" w:sz="4" w:space="0"/>
                    <w:left w:val="single" w:color="auto" w:sz="4" w:space="0"/>
                    <w:bottom w:val="single" w:color="auto" w:sz="4" w:space="0"/>
                    <w:right w:val="single" w:color="auto" w:sz="4" w:space="0"/>
                  </w:tcBorders>
                  <w:vAlign w:val="center"/>
                </w:tcPr>
                <w:p>
                  <w:pPr>
                    <w:pStyle w:val="46"/>
                    <w:rPr>
                      <w:b/>
                      <w:bCs/>
                      <w:szCs w:val="21"/>
                    </w:rPr>
                  </w:pPr>
                  <w:r>
                    <w:rPr>
                      <w:rFonts w:hint="eastAsia"/>
                      <w:b/>
                      <w:bCs/>
                      <w:szCs w:val="21"/>
                    </w:rPr>
                    <w:t>本项目</w:t>
                  </w:r>
                </w:p>
              </w:tc>
              <w:tc>
                <w:tcPr>
                  <w:tcW w:w="707" w:type="dxa"/>
                  <w:tcBorders>
                    <w:top w:val="single" w:color="auto" w:sz="4" w:space="0"/>
                    <w:left w:val="single" w:color="auto" w:sz="4" w:space="0"/>
                    <w:bottom w:val="single" w:color="auto" w:sz="4" w:space="0"/>
                    <w:right w:val="single" w:color="auto" w:sz="4" w:space="0"/>
                  </w:tcBorders>
                  <w:vAlign w:val="center"/>
                </w:tcPr>
                <w:p>
                  <w:pPr>
                    <w:pStyle w:val="46"/>
                    <w:rPr>
                      <w:b/>
                      <w:bCs/>
                      <w:szCs w:val="21"/>
                    </w:rPr>
                  </w:pPr>
                  <w:r>
                    <w:rPr>
                      <w:rFonts w:hint="eastAsia"/>
                      <w:b/>
                      <w:bCs/>
                      <w:szCs w:val="21"/>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917" w:type="dxa"/>
                  <w:vMerge w:val="restart"/>
                  <w:tcBorders>
                    <w:top w:val="single" w:color="auto" w:sz="4" w:space="0"/>
                    <w:left w:val="single" w:color="auto" w:sz="4" w:space="0"/>
                    <w:right w:val="single" w:color="auto" w:sz="4" w:space="0"/>
                  </w:tcBorders>
                  <w:vAlign w:val="center"/>
                </w:tcPr>
                <w:p>
                  <w:pPr>
                    <w:pStyle w:val="46"/>
                    <w:spacing w:line="240" w:lineRule="auto"/>
                    <w:rPr>
                      <w:szCs w:val="21"/>
                    </w:rPr>
                  </w:pPr>
                  <w:r>
                    <w:rPr>
                      <w:rFonts w:hint="eastAsia"/>
                      <w:szCs w:val="21"/>
                    </w:rPr>
                    <w:t>ZH41042320001</w:t>
                  </w:r>
                </w:p>
              </w:tc>
              <w:tc>
                <w:tcPr>
                  <w:tcW w:w="934" w:type="dxa"/>
                  <w:vMerge w:val="restart"/>
                  <w:tcBorders>
                    <w:top w:val="single" w:color="auto" w:sz="4" w:space="0"/>
                    <w:left w:val="single" w:color="auto" w:sz="4" w:space="0"/>
                    <w:right w:val="single" w:color="auto" w:sz="4" w:space="0"/>
                  </w:tcBorders>
                  <w:vAlign w:val="center"/>
                </w:tcPr>
                <w:p>
                  <w:pPr>
                    <w:pStyle w:val="46"/>
                    <w:spacing w:line="240" w:lineRule="auto"/>
                    <w:rPr>
                      <w:szCs w:val="21"/>
                    </w:rPr>
                  </w:pPr>
                  <w:r>
                    <w:rPr>
                      <w:rFonts w:hint="eastAsia"/>
                      <w:szCs w:val="21"/>
                    </w:rPr>
                    <w:t>鲁山县产业集聚区</w:t>
                  </w:r>
                </w:p>
              </w:tc>
              <w:tc>
                <w:tcPr>
                  <w:tcW w:w="589"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空间布局约束</w:t>
                  </w:r>
                </w:p>
              </w:tc>
              <w:tc>
                <w:tcPr>
                  <w:tcW w:w="5261" w:type="dxa"/>
                  <w:tcBorders>
                    <w:top w:val="single" w:color="auto" w:sz="4" w:space="0"/>
                    <w:left w:val="single" w:color="auto" w:sz="4" w:space="0"/>
                    <w:bottom w:val="single" w:color="auto" w:sz="4" w:space="0"/>
                    <w:right w:val="single" w:color="auto" w:sz="4" w:space="0"/>
                  </w:tcBorders>
                  <w:vAlign w:val="center"/>
                </w:tcPr>
                <w:p>
                  <w:pPr>
                    <w:pStyle w:val="48"/>
                    <w:rPr>
                      <w:rFonts w:eastAsia="宋体"/>
                      <w:kern w:val="2"/>
                      <w:sz w:val="21"/>
                      <w:szCs w:val="21"/>
                    </w:rPr>
                  </w:pPr>
                  <w:r>
                    <w:rPr>
                      <w:rFonts w:hint="eastAsia" w:eastAsia="宋体"/>
                      <w:kern w:val="2"/>
                      <w:sz w:val="21"/>
                      <w:szCs w:val="21"/>
                    </w:rPr>
                    <w:t>1、</w:t>
                  </w:r>
                  <w:r>
                    <w:rPr>
                      <w:rFonts w:eastAsia="宋体"/>
                      <w:kern w:val="2"/>
                      <w:sz w:val="21"/>
                      <w:szCs w:val="21"/>
                    </w:rPr>
                    <w:t>对规划区内受影响及已建企业卫生防护距离内的现有居民区需尽快搬迁；规划建设的工业区范围内不得新建居民区、学校、医院等环境敏感目标。</w:t>
                  </w:r>
                </w:p>
                <w:p>
                  <w:pPr>
                    <w:pStyle w:val="48"/>
                    <w:rPr>
                      <w:rFonts w:eastAsia="宋体"/>
                      <w:kern w:val="2"/>
                      <w:sz w:val="21"/>
                      <w:szCs w:val="21"/>
                    </w:rPr>
                  </w:pPr>
                  <w:r>
                    <w:rPr>
                      <w:rFonts w:hint="eastAsia" w:eastAsia="宋体"/>
                      <w:kern w:val="2"/>
                      <w:sz w:val="21"/>
                      <w:szCs w:val="21"/>
                    </w:rPr>
                    <w:t>2、</w:t>
                  </w:r>
                  <w:r>
                    <w:rPr>
                      <w:rFonts w:eastAsia="宋体"/>
                      <w:kern w:val="2"/>
                      <w:sz w:val="21"/>
                      <w:szCs w:val="21"/>
                    </w:rPr>
                    <w:t>严控随意改变各用地功能区使用功能，并注重节约集约用地。</w:t>
                  </w:r>
                </w:p>
                <w:p>
                  <w:pPr>
                    <w:pStyle w:val="48"/>
                    <w:rPr>
                      <w:rFonts w:eastAsia="宋体"/>
                      <w:kern w:val="2"/>
                      <w:sz w:val="21"/>
                      <w:szCs w:val="21"/>
                    </w:rPr>
                  </w:pPr>
                  <w:r>
                    <w:rPr>
                      <w:rFonts w:hint="eastAsia" w:eastAsia="宋体"/>
                      <w:kern w:val="2"/>
                      <w:sz w:val="21"/>
                      <w:szCs w:val="21"/>
                    </w:rPr>
                    <w:t>3</w:t>
                  </w:r>
                  <w:r>
                    <w:rPr>
                      <w:rFonts w:eastAsia="宋体"/>
                      <w:kern w:val="2"/>
                      <w:sz w:val="21"/>
                      <w:szCs w:val="21"/>
                    </w:rPr>
                    <w:t>、禁止引进不符合国家产业政策、行业准入条件和集聚区准入清单以外的项目，同时禁止引入高水耗、高能耗和高物耗的项目。</w:t>
                  </w:r>
                </w:p>
                <w:p>
                  <w:pPr>
                    <w:pStyle w:val="48"/>
                    <w:rPr>
                      <w:rFonts w:eastAsia="宋体"/>
                      <w:kern w:val="2"/>
                      <w:sz w:val="21"/>
                      <w:szCs w:val="21"/>
                    </w:rPr>
                  </w:pPr>
                  <w:r>
                    <w:rPr>
                      <w:rFonts w:hint="eastAsia" w:eastAsia="宋体"/>
                      <w:kern w:val="2"/>
                      <w:sz w:val="21"/>
                      <w:szCs w:val="21"/>
                    </w:rPr>
                    <w:t>4</w:t>
                  </w:r>
                  <w:r>
                    <w:rPr>
                      <w:rFonts w:eastAsia="宋体"/>
                      <w:kern w:val="2"/>
                      <w:sz w:val="21"/>
                      <w:szCs w:val="21"/>
                    </w:rPr>
                    <w:t>、禁止新建造纸、印染、制革、酿造、电镀等污染严重的企业。</w:t>
                  </w:r>
                </w:p>
                <w:p>
                  <w:pPr>
                    <w:pStyle w:val="46"/>
                    <w:spacing w:line="240" w:lineRule="auto"/>
                    <w:jc w:val="both"/>
                    <w:rPr>
                      <w:szCs w:val="21"/>
                    </w:rPr>
                  </w:pPr>
                  <w:r>
                    <w:rPr>
                      <w:rFonts w:hint="eastAsia"/>
                      <w:szCs w:val="21"/>
                    </w:rPr>
                    <w:t>5</w:t>
                  </w:r>
                  <w:r>
                    <w:rPr>
                      <w:szCs w:val="21"/>
                    </w:rPr>
                    <w:t>、鼓励引进附加值高、科技含量高、环</w:t>
                  </w:r>
                  <w:r>
                    <w:rPr>
                      <w:color w:val="000000"/>
                      <w:szCs w:val="21"/>
                    </w:rPr>
                    <w:t>境影响小的企业入驻。重点发展节能环保装备制造、新能源、新材料等产业，建设高新技术示范基地和科技成果转化示范区。</w:t>
                  </w:r>
                </w:p>
              </w:tc>
              <w:tc>
                <w:tcPr>
                  <w:tcW w:w="296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both"/>
                    <w:rPr>
                      <w:szCs w:val="21"/>
                    </w:rPr>
                  </w:pPr>
                  <w:r>
                    <w:rPr>
                      <w:rFonts w:hint="eastAsia"/>
                      <w:szCs w:val="21"/>
                    </w:rPr>
                    <w:t>1、本项目位于鲁山县产业集聚区内的工业区范围内，为工业项目。</w:t>
                  </w:r>
                </w:p>
                <w:p>
                  <w:pPr>
                    <w:pStyle w:val="46"/>
                    <w:spacing w:line="240" w:lineRule="auto"/>
                    <w:jc w:val="both"/>
                    <w:rPr>
                      <w:szCs w:val="21"/>
                    </w:rPr>
                  </w:pPr>
                  <w:r>
                    <w:rPr>
                      <w:rFonts w:hint="eastAsia"/>
                      <w:szCs w:val="21"/>
                    </w:rPr>
                    <w:t>2、本项目为工业项目，占地类型为工业用地。</w:t>
                  </w:r>
                </w:p>
                <w:p>
                  <w:pPr>
                    <w:pStyle w:val="46"/>
                    <w:spacing w:line="240" w:lineRule="auto"/>
                    <w:jc w:val="both"/>
                    <w:rPr>
                      <w:szCs w:val="21"/>
                    </w:rPr>
                  </w:pPr>
                  <w:r>
                    <w:rPr>
                      <w:rFonts w:hint="eastAsia"/>
                      <w:szCs w:val="21"/>
                    </w:rPr>
                    <w:t>3、本项目不属于</w:t>
                  </w:r>
                  <w:r>
                    <w:rPr>
                      <w:szCs w:val="21"/>
                    </w:rPr>
                    <w:t>《产业结构调整指导目录（2019年本）》</w:t>
                  </w:r>
                  <w:r>
                    <w:rPr>
                      <w:rFonts w:hint="eastAsia"/>
                      <w:szCs w:val="21"/>
                    </w:rPr>
                    <w:t>中的</w:t>
                  </w:r>
                  <w:r>
                    <w:rPr>
                      <w:szCs w:val="21"/>
                    </w:rPr>
                    <w:t>鼓励类</w:t>
                  </w:r>
                  <w:r>
                    <w:rPr>
                      <w:rFonts w:hint="eastAsia"/>
                      <w:szCs w:val="21"/>
                    </w:rPr>
                    <w:t>、限制类、淘汰类，为允许类项目；本项目属于非金属矿物制品业，符合集聚区准入清单；不属于高水耗、高能耗、高物耗项目。</w:t>
                  </w:r>
                </w:p>
                <w:p>
                  <w:pPr>
                    <w:pStyle w:val="46"/>
                    <w:spacing w:line="240" w:lineRule="auto"/>
                    <w:jc w:val="both"/>
                    <w:rPr>
                      <w:szCs w:val="21"/>
                    </w:rPr>
                  </w:pPr>
                  <w:r>
                    <w:rPr>
                      <w:rFonts w:hint="eastAsia"/>
                      <w:szCs w:val="21"/>
                    </w:rPr>
                    <w:t>4、本项目为新材料项目，为重点发展产业。</w:t>
                  </w:r>
                </w:p>
              </w:tc>
              <w:tc>
                <w:tcPr>
                  <w:tcW w:w="70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917" w:type="dxa"/>
                  <w:vMerge w:val="continue"/>
                  <w:tcBorders>
                    <w:left w:val="single" w:color="auto" w:sz="4" w:space="0"/>
                    <w:right w:val="single" w:color="auto" w:sz="4" w:space="0"/>
                  </w:tcBorders>
                  <w:vAlign w:val="center"/>
                </w:tcPr>
                <w:p>
                  <w:pPr>
                    <w:pStyle w:val="46"/>
                    <w:spacing w:line="240" w:lineRule="auto"/>
                    <w:rPr>
                      <w:szCs w:val="21"/>
                    </w:rPr>
                  </w:pPr>
                </w:p>
              </w:tc>
              <w:tc>
                <w:tcPr>
                  <w:tcW w:w="934" w:type="dxa"/>
                  <w:vMerge w:val="continue"/>
                  <w:tcBorders>
                    <w:left w:val="single" w:color="auto" w:sz="4" w:space="0"/>
                    <w:right w:val="single" w:color="auto" w:sz="4" w:space="0"/>
                  </w:tcBorders>
                  <w:vAlign w:val="center"/>
                </w:tcPr>
                <w:p>
                  <w:pPr>
                    <w:pStyle w:val="46"/>
                    <w:spacing w:line="240" w:lineRule="auto"/>
                    <w:rPr>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污染物排放管控</w:t>
                  </w:r>
                </w:p>
              </w:tc>
              <w:tc>
                <w:tcPr>
                  <w:tcW w:w="5261" w:type="dxa"/>
                  <w:tcBorders>
                    <w:top w:val="single" w:color="auto" w:sz="4" w:space="0"/>
                    <w:left w:val="single" w:color="auto" w:sz="4" w:space="0"/>
                    <w:bottom w:val="single" w:color="auto" w:sz="4" w:space="0"/>
                    <w:right w:val="single" w:color="auto" w:sz="4" w:space="0"/>
                  </w:tcBorders>
                  <w:vAlign w:val="center"/>
                </w:tcPr>
                <w:p>
                  <w:pPr>
                    <w:pStyle w:val="48"/>
                    <w:rPr>
                      <w:rFonts w:eastAsia="宋体"/>
                      <w:kern w:val="2"/>
                      <w:sz w:val="21"/>
                      <w:szCs w:val="21"/>
                    </w:rPr>
                  </w:pPr>
                  <w:r>
                    <w:rPr>
                      <w:color w:val="auto"/>
                    </w:rPr>
                    <w:t>1</w:t>
                  </w:r>
                  <w:r>
                    <w:rPr>
                      <w:rFonts w:eastAsia="宋体"/>
                      <w:kern w:val="2"/>
                      <w:sz w:val="21"/>
                      <w:szCs w:val="21"/>
                    </w:rPr>
                    <w:t>、严格执行污染物排放总量控制制度，区内现有企业改扩建要做到“增产不增污”，严格控制大气污染物的排放。</w:t>
                  </w:r>
                </w:p>
                <w:p>
                  <w:pPr>
                    <w:pStyle w:val="48"/>
                    <w:rPr>
                      <w:rFonts w:eastAsia="宋体"/>
                      <w:kern w:val="2"/>
                      <w:sz w:val="21"/>
                      <w:szCs w:val="21"/>
                    </w:rPr>
                  </w:pPr>
                  <w:r>
                    <w:rPr>
                      <w:rFonts w:eastAsia="宋体"/>
                      <w:kern w:val="2"/>
                      <w:sz w:val="21"/>
                      <w:szCs w:val="21"/>
                    </w:rPr>
                    <w:t>2、继续推进集中供热、供气，新建项目不得建设燃煤锅炉。</w:t>
                  </w:r>
                </w:p>
                <w:p>
                  <w:pPr>
                    <w:pStyle w:val="48"/>
                    <w:rPr>
                      <w:rFonts w:eastAsia="宋体"/>
                      <w:kern w:val="2"/>
                      <w:sz w:val="21"/>
                      <w:szCs w:val="21"/>
                    </w:rPr>
                  </w:pPr>
                  <w:r>
                    <w:rPr>
                      <w:rFonts w:eastAsia="宋体"/>
                      <w:kern w:val="2"/>
                      <w:sz w:val="21"/>
                      <w:szCs w:val="21"/>
                    </w:rPr>
                    <w:t>3、重点行业（炭素、工业涂装等）二氧化硫、氮氧化物、颗粒物、VOCs逐步推行大气污染物特别排放限值。新改扩建设项目主要污染物排放应满足总量减排要求。</w:t>
                  </w:r>
                </w:p>
                <w:p>
                  <w:pPr>
                    <w:rPr>
                      <w:szCs w:val="21"/>
                    </w:rPr>
                  </w:pPr>
                  <w:r>
                    <w:rPr>
                      <w:szCs w:val="21"/>
                    </w:rPr>
                    <w:t>4、新建、改建、扩建涉VOCs排放项目应加强废气收集，安装高效治理设施，严格VOCs无组织排放治理。</w:t>
                  </w:r>
                </w:p>
              </w:tc>
              <w:tc>
                <w:tcPr>
                  <w:tcW w:w="296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both"/>
                    <w:rPr>
                      <w:szCs w:val="21"/>
                    </w:rPr>
                  </w:pPr>
                  <w:r>
                    <w:rPr>
                      <w:rFonts w:hint="eastAsia"/>
                      <w:szCs w:val="21"/>
                    </w:rPr>
                    <w:t>1、本项目产生的污染物执行总量控制制度，严格控制大气污染物的排放。</w:t>
                  </w:r>
                </w:p>
                <w:p>
                  <w:pPr>
                    <w:pStyle w:val="46"/>
                    <w:spacing w:line="240" w:lineRule="auto"/>
                    <w:jc w:val="both"/>
                    <w:rPr>
                      <w:szCs w:val="21"/>
                    </w:rPr>
                  </w:pPr>
                  <w:r>
                    <w:rPr>
                      <w:rFonts w:hint="eastAsia"/>
                      <w:szCs w:val="21"/>
                    </w:rPr>
                    <w:t>2、本项目为新建项目，无燃煤锅炉。</w:t>
                  </w:r>
                </w:p>
                <w:p>
                  <w:pPr>
                    <w:pStyle w:val="46"/>
                    <w:spacing w:line="240" w:lineRule="auto"/>
                    <w:jc w:val="both"/>
                    <w:rPr>
                      <w:szCs w:val="21"/>
                    </w:rPr>
                  </w:pPr>
                  <w:r>
                    <w:rPr>
                      <w:rFonts w:hint="eastAsia"/>
                      <w:szCs w:val="21"/>
                    </w:rPr>
                    <w:t>3、本项目不属于重点行业。</w:t>
                  </w:r>
                  <w:r>
                    <w:rPr>
                      <w:szCs w:val="21"/>
                    </w:rPr>
                    <w:t>污染物排放满足总量减排要求。</w:t>
                  </w:r>
                </w:p>
                <w:p>
                  <w:pPr>
                    <w:pStyle w:val="46"/>
                    <w:spacing w:line="240" w:lineRule="auto"/>
                    <w:jc w:val="both"/>
                    <w:rPr>
                      <w:szCs w:val="21"/>
                    </w:rPr>
                  </w:pPr>
                  <w:r>
                    <w:rPr>
                      <w:rFonts w:hint="eastAsia"/>
                      <w:szCs w:val="21"/>
                    </w:rPr>
                    <w:t>4、本项目不涉及VOCs。</w:t>
                  </w:r>
                </w:p>
              </w:tc>
              <w:tc>
                <w:tcPr>
                  <w:tcW w:w="70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1" w:hRule="atLeast"/>
                <w:jc w:val="center"/>
              </w:trPr>
              <w:tc>
                <w:tcPr>
                  <w:tcW w:w="917" w:type="dxa"/>
                  <w:vMerge w:val="continue"/>
                  <w:tcBorders>
                    <w:left w:val="single" w:color="auto" w:sz="4" w:space="0"/>
                    <w:right w:val="single" w:color="auto" w:sz="4" w:space="0"/>
                  </w:tcBorders>
                  <w:vAlign w:val="center"/>
                </w:tcPr>
                <w:p>
                  <w:pPr>
                    <w:pStyle w:val="46"/>
                    <w:rPr>
                      <w:szCs w:val="21"/>
                    </w:rPr>
                  </w:pPr>
                </w:p>
              </w:tc>
              <w:tc>
                <w:tcPr>
                  <w:tcW w:w="934" w:type="dxa"/>
                  <w:vMerge w:val="continue"/>
                  <w:tcBorders>
                    <w:left w:val="single" w:color="auto" w:sz="4" w:space="0"/>
                    <w:right w:val="single" w:color="auto" w:sz="4" w:space="0"/>
                  </w:tcBorders>
                  <w:vAlign w:val="center"/>
                </w:tcPr>
                <w:p>
                  <w:pPr>
                    <w:pStyle w:val="46"/>
                    <w:rPr>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环境风险防控</w:t>
                  </w:r>
                </w:p>
              </w:tc>
              <w:tc>
                <w:tcPr>
                  <w:tcW w:w="5261" w:type="dxa"/>
                  <w:tcBorders>
                    <w:top w:val="single" w:color="auto" w:sz="4" w:space="0"/>
                    <w:left w:val="single" w:color="auto" w:sz="4" w:space="0"/>
                    <w:bottom w:val="single" w:color="auto" w:sz="4" w:space="0"/>
                    <w:right w:val="single" w:color="auto" w:sz="4" w:space="0"/>
                  </w:tcBorders>
                  <w:vAlign w:val="center"/>
                </w:tcPr>
                <w:p>
                  <w:pPr>
                    <w:pStyle w:val="48"/>
                    <w:rPr>
                      <w:rFonts w:eastAsia="宋体"/>
                      <w:kern w:val="2"/>
                      <w:sz w:val="21"/>
                      <w:szCs w:val="21"/>
                    </w:rPr>
                  </w:pPr>
                  <w:r>
                    <w:rPr>
                      <w:rFonts w:eastAsia="宋体"/>
                      <w:kern w:val="2"/>
                      <w:sz w:val="21"/>
                      <w:szCs w:val="21"/>
                    </w:rPr>
                    <w:t>1、优化调整货物运输结构，大幅提升铁路货运比例，逐步淘汰国三及以下排放标准柴油货车，持续开展车辆更新工作。</w:t>
                  </w:r>
                </w:p>
                <w:p>
                  <w:pPr>
                    <w:pStyle w:val="46"/>
                    <w:spacing w:line="240" w:lineRule="auto"/>
                    <w:jc w:val="both"/>
                    <w:rPr>
                      <w:szCs w:val="21"/>
                    </w:rPr>
                  </w:pPr>
                  <w:r>
                    <w:rPr>
                      <w:szCs w:val="21"/>
                    </w:rPr>
                    <w:t>2、禁燃区内禁止销售、使用煤等高污染燃料，现有使用高污染燃料的单位和个人，应当按照市、县（市）人民政府规定的期限改用清洁能源或拆除使用高污染燃料的设施。</w:t>
                  </w:r>
                </w:p>
              </w:tc>
              <w:tc>
                <w:tcPr>
                  <w:tcW w:w="296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both"/>
                    <w:rPr>
                      <w:szCs w:val="21"/>
                    </w:rPr>
                  </w:pPr>
                  <w:r>
                    <w:rPr>
                      <w:rFonts w:hint="eastAsia"/>
                      <w:szCs w:val="21"/>
                    </w:rPr>
                    <w:t>本项目使用的货车排放标准满足现行环境管理要求。</w:t>
                  </w:r>
                </w:p>
              </w:tc>
              <w:tc>
                <w:tcPr>
                  <w:tcW w:w="70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符合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917" w:type="dxa"/>
                  <w:vMerge w:val="continue"/>
                  <w:tcBorders>
                    <w:left w:val="single" w:color="auto" w:sz="4" w:space="0"/>
                    <w:right w:val="single" w:color="auto" w:sz="4" w:space="0"/>
                  </w:tcBorders>
                  <w:vAlign w:val="center"/>
                </w:tcPr>
                <w:p>
                  <w:pPr>
                    <w:pStyle w:val="46"/>
                    <w:rPr>
                      <w:szCs w:val="21"/>
                    </w:rPr>
                  </w:pPr>
                </w:p>
              </w:tc>
              <w:tc>
                <w:tcPr>
                  <w:tcW w:w="934" w:type="dxa"/>
                  <w:vMerge w:val="continue"/>
                  <w:tcBorders>
                    <w:left w:val="single" w:color="auto" w:sz="4" w:space="0"/>
                    <w:right w:val="single" w:color="auto" w:sz="4" w:space="0"/>
                  </w:tcBorders>
                  <w:vAlign w:val="center"/>
                </w:tcPr>
                <w:p>
                  <w:pPr>
                    <w:pStyle w:val="46"/>
                    <w:rPr>
                      <w:szCs w:val="21"/>
                    </w:rPr>
                  </w:pPr>
                </w:p>
              </w:tc>
              <w:tc>
                <w:tcPr>
                  <w:tcW w:w="589"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szCs w:val="20"/>
                    </w:rPr>
                    <w:t>资源开发效率要求</w:t>
                  </w:r>
                </w:p>
              </w:tc>
              <w:tc>
                <w:tcPr>
                  <w:tcW w:w="5261"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both"/>
                    <w:rPr>
                      <w:szCs w:val="21"/>
                    </w:rPr>
                  </w:pPr>
                  <w:r>
                    <w:rPr>
                      <w:color w:val="000000"/>
                      <w:szCs w:val="21"/>
                    </w:rPr>
                    <w:t>1、工业固体废弃物综合利用率达95%。</w:t>
                  </w:r>
                  <w:r>
                    <w:rPr>
                      <w:color w:val="000000"/>
                      <w:szCs w:val="21"/>
                    </w:rPr>
                    <w:br w:type="textWrapping"/>
                  </w:r>
                  <w:r>
                    <w:rPr>
                      <w:color w:val="000000"/>
                      <w:szCs w:val="21"/>
                    </w:rPr>
                    <w:t>2、工业用水重复利用率75%，中水回用率90%。</w:t>
                  </w:r>
                  <w:r>
                    <w:rPr>
                      <w:color w:val="000000"/>
                      <w:szCs w:val="21"/>
                    </w:rPr>
                    <w:br w:type="textWrapping"/>
                  </w:r>
                  <w:r>
                    <w:rPr>
                      <w:color w:val="000000"/>
                      <w:szCs w:val="21"/>
                    </w:rPr>
                    <w:t>3、单位工业增加值综合能耗不高于0.5（吨标煤/万元）；单位工业增加值水耗不高于9（立方米/万元）。</w:t>
                  </w:r>
                </w:p>
              </w:tc>
              <w:tc>
                <w:tcPr>
                  <w:tcW w:w="2966" w:type="dxa"/>
                  <w:tcBorders>
                    <w:top w:val="single" w:color="auto" w:sz="4" w:space="0"/>
                    <w:left w:val="single" w:color="auto" w:sz="4" w:space="0"/>
                    <w:bottom w:val="single" w:color="auto" w:sz="4" w:space="0"/>
                    <w:right w:val="single" w:color="auto" w:sz="4" w:space="0"/>
                  </w:tcBorders>
                  <w:vAlign w:val="center"/>
                </w:tcPr>
                <w:p>
                  <w:pPr>
                    <w:pStyle w:val="46"/>
                    <w:spacing w:line="240" w:lineRule="auto"/>
                    <w:jc w:val="both"/>
                    <w:rPr>
                      <w:color w:val="000000"/>
                      <w:szCs w:val="21"/>
                    </w:rPr>
                  </w:pPr>
                  <w:r>
                    <w:rPr>
                      <w:color w:val="000000"/>
                      <w:szCs w:val="21"/>
                    </w:rPr>
                    <w:t>1、</w:t>
                  </w:r>
                  <w:r>
                    <w:rPr>
                      <w:rFonts w:hint="eastAsia"/>
                      <w:color w:val="000000"/>
                      <w:szCs w:val="21"/>
                    </w:rPr>
                    <w:t>本项目产生的生产固废全部能够</w:t>
                  </w:r>
                  <w:r>
                    <w:rPr>
                      <w:color w:val="000000"/>
                      <w:szCs w:val="21"/>
                    </w:rPr>
                    <w:t>综合利用</w:t>
                  </w:r>
                  <w:r>
                    <w:rPr>
                      <w:rFonts w:hint="eastAsia"/>
                      <w:color w:val="000000"/>
                      <w:szCs w:val="21"/>
                    </w:rPr>
                    <w:t>。</w:t>
                  </w:r>
                </w:p>
                <w:p>
                  <w:pPr>
                    <w:pStyle w:val="46"/>
                    <w:spacing w:line="240" w:lineRule="auto"/>
                    <w:jc w:val="both"/>
                    <w:rPr>
                      <w:szCs w:val="21"/>
                    </w:rPr>
                  </w:pPr>
                  <w:r>
                    <w:rPr>
                      <w:color w:val="000000"/>
                      <w:szCs w:val="21"/>
                    </w:rPr>
                    <w:t>2、</w:t>
                  </w:r>
                  <w:r>
                    <w:rPr>
                      <w:rFonts w:hint="eastAsia"/>
                      <w:color w:val="000000"/>
                      <w:szCs w:val="21"/>
                    </w:rPr>
                    <w:t>本项目产生的生产废水全部回用不外排。</w:t>
                  </w:r>
                </w:p>
              </w:tc>
              <w:tc>
                <w:tcPr>
                  <w:tcW w:w="707" w:type="dxa"/>
                  <w:tcBorders>
                    <w:top w:val="single" w:color="auto" w:sz="4" w:space="0"/>
                    <w:left w:val="single" w:color="auto" w:sz="4" w:space="0"/>
                    <w:bottom w:val="single" w:color="auto" w:sz="4" w:space="0"/>
                    <w:right w:val="single" w:color="auto" w:sz="4" w:space="0"/>
                  </w:tcBorders>
                  <w:vAlign w:val="center"/>
                </w:tcPr>
                <w:p>
                  <w:pPr>
                    <w:pStyle w:val="46"/>
                    <w:spacing w:line="240" w:lineRule="auto"/>
                    <w:rPr>
                      <w:szCs w:val="21"/>
                    </w:rPr>
                  </w:pPr>
                  <w:r>
                    <w:rPr>
                      <w:rFonts w:hint="eastAsia"/>
                      <w:szCs w:val="21"/>
                    </w:rPr>
                    <w:t>符合</w:t>
                  </w:r>
                </w:p>
              </w:tc>
            </w:tr>
          </w:tbl>
          <w:p>
            <w:pPr>
              <w:autoSpaceDE w:val="0"/>
              <w:autoSpaceDN w:val="0"/>
              <w:adjustRightInd w:val="0"/>
              <w:snapToGrid w:val="0"/>
              <w:spacing w:line="120" w:lineRule="exact"/>
              <w:rPr>
                <w:rFonts w:cs="宋体"/>
                <w:kern w:val="0"/>
                <w:sz w:val="24"/>
              </w:rPr>
            </w:pPr>
          </w:p>
        </w:tc>
      </w:tr>
    </w:tbl>
    <w:p>
      <w:pPr>
        <w:pStyle w:val="15"/>
        <w:sectPr>
          <w:pgSz w:w="16838" w:h="11906" w:orient="landscape"/>
          <w:pgMar w:top="1531" w:right="1701" w:bottom="1531" w:left="1701" w:header="851" w:footer="1077" w:gutter="0"/>
          <w:cols w:space="720" w:num="1"/>
          <w:docGrid w:linePitch="312" w:charSpace="0"/>
        </w:sectPr>
      </w:pPr>
    </w:p>
    <w:tbl>
      <w:tblPr>
        <w:tblStyle w:val="26"/>
        <w:tblW w:w="887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23"/>
        <w:gridCol w:w="66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223" w:type="dxa"/>
            <w:vAlign w:val="center"/>
          </w:tcPr>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15"/>
            </w:pPr>
          </w:p>
          <w:p>
            <w:pPr>
              <w:pStyle w:val="15"/>
            </w:pPr>
          </w:p>
          <w:p>
            <w:pPr>
              <w:pStyle w:val="15"/>
            </w:pPr>
          </w:p>
          <w:p>
            <w:pPr>
              <w:pStyle w:val="15"/>
            </w:pPr>
          </w:p>
          <w:p>
            <w:pPr>
              <w:pStyle w:val="15"/>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rPr>
                <w:sz w:val="24"/>
              </w:rPr>
            </w:pPr>
            <w:r>
              <w:rPr>
                <w:rFonts w:hint="eastAsia"/>
                <w:sz w:val="24"/>
              </w:rPr>
              <w:t>其他符合性分析</w:t>
            </w: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pStyle w:val="7"/>
              <w:ind w:firstLine="210"/>
            </w:pPr>
          </w:p>
          <w:p>
            <w:pPr>
              <w:autoSpaceDE w:val="0"/>
              <w:autoSpaceDN w:val="0"/>
              <w:adjustRightInd w:val="0"/>
              <w:snapToGrid w:val="0"/>
              <w:jc w:val="center"/>
              <w:rPr>
                <w:sz w:val="24"/>
              </w:rPr>
            </w:pPr>
            <w:r>
              <w:rPr>
                <w:rFonts w:hint="eastAsia"/>
                <w:sz w:val="24"/>
              </w:rPr>
              <w:t>其他符合性分析</w:t>
            </w:r>
          </w:p>
          <w:p>
            <w:pPr>
              <w:pStyle w:val="7"/>
              <w:ind w:firstLine="210"/>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autoSpaceDE w:val="0"/>
              <w:autoSpaceDN w:val="0"/>
              <w:adjustRightInd w:val="0"/>
              <w:snapToGrid w:val="0"/>
              <w:jc w:val="center"/>
            </w:pPr>
          </w:p>
          <w:p>
            <w:pPr>
              <w:pStyle w:val="7"/>
              <w:ind w:firstLine="240"/>
              <w:rPr>
                <w:rFonts w:cs="宋体"/>
                <w:kern w:val="0"/>
                <w:sz w:val="24"/>
              </w:rPr>
            </w:pPr>
          </w:p>
        </w:tc>
        <w:tc>
          <w:tcPr>
            <w:tcW w:w="6647" w:type="dxa"/>
            <w:vAlign w:val="center"/>
          </w:tcPr>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因此</w:t>
            </w:r>
            <w:r>
              <w:rPr>
                <w:rFonts w:cs="宋体"/>
                <w:kern w:val="0"/>
                <w:sz w:val="24"/>
              </w:rPr>
              <w:t>，本项目的建设符合《</w:t>
            </w:r>
            <w:r>
              <w:rPr>
                <w:rFonts w:hint="eastAsia" w:cs="宋体"/>
                <w:kern w:val="0"/>
                <w:sz w:val="24"/>
              </w:rPr>
              <w:t>平顶山市</w:t>
            </w:r>
            <w:r>
              <w:rPr>
                <w:rFonts w:cs="宋体"/>
                <w:kern w:val="0"/>
                <w:sz w:val="24"/>
              </w:rPr>
              <w:t>人民政府关于实施</w:t>
            </w:r>
            <w:r>
              <w:rPr>
                <w:rFonts w:hint="eastAsia" w:cs="宋体"/>
                <w:kern w:val="0"/>
                <w:sz w:val="24"/>
              </w:rPr>
              <w:t>“</w:t>
            </w:r>
            <w:r>
              <w:rPr>
                <w:rFonts w:cs="宋体"/>
                <w:kern w:val="0"/>
                <w:sz w:val="24"/>
              </w:rPr>
              <w:t>三线一单</w:t>
            </w:r>
            <w:r>
              <w:rPr>
                <w:rFonts w:hint="eastAsia" w:cs="宋体"/>
                <w:kern w:val="0"/>
                <w:sz w:val="24"/>
              </w:rPr>
              <w:t>”</w:t>
            </w:r>
            <w:r>
              <w:rPr>
                <w:rFonts w:cs="宋体"/>
                <w:kern w:val="0"/>
                <w:sz w:val="24"/>
              </w:rPr>
              <w:t>生态环境分区管控的意见》</w:t>
            </w:r>
            <w:r>
              <w:rPr>
                <w:rFonts w:hint="eastAsia" w:cs="宋体"/>
                <w:kern w:val="0"/>
                <w:sz w:val="24"/>
              </w:rPr>
              <w:t>（平政〔2021〕10号）</w:t>
            </w:r>
            <w:r>
              <w:rPr>
                <w:rFonts w:cs="宋体"/>
                <w:kern w:val="0"/>
                <w:sz w:val="24"/>
              </w:rPr>
              <w:t>的要求。</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2 与《河南省2021年大气污染防治攻坚战实施方案》符合性分析</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《河南省2021年大气污染防治攻坚战实施方案》中与本项目有关的内容如下：</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严格环境准入。落实“三线一单”（生态保护红线、环境质量底线、资源利用上线和生态环境准入清单）生态环境分区管控要求，从严从紧从实控制高耗能、高排放项目建设，全省原则上禁止新建、扩建单纯新增产能的钢铁、电解铝、水泥、平板玻璃、传统煤化工（甲醇、合成氨）、焦化、铸造、铝用炭素、耐火材料制品、砖瓦窑、铅锌冶炼（含再生铅）等高耗能、高排放和产能过剩的产业项目，严格项目备案审查，强化项目现场核查，保持违规新增产能项目露头就打的高压态势。完善生态环境准入清单，强化项目环评及“三同时”管理，国家、省绩效分级重点行业的新建、改建、扩建项目达到B级以上要求。</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加强扬尘综合治理。开展扬尘污染综合治理提升行动，推动扬尘污染防治常态化、规范化、标准化。住房城乡建设、交通运输、自然资源、水利、商务等部门将落实《城市房屋建筑和市政基础设施工程及道路扬尘污染防治标准》要求、“六个百分之百”扬尘污染防治措施、“两个禁止”（禁止现场搅拌混凝土和现场配制砂浆）、渣土物料运输车辆管理纳入日常安全文明施工监督范围，组织做好重污染天气预警、大风天气条件下施工工地、道路扬尘管控，建立举报监督、明查暗访工作机制，将工程建设活动中未按规定采取控制措施、减少扬尘污染受到通报、约谈或行政处罚的列为不良行为。进一步扩大道路机械化清扫和洒水范围，强化道路清洗保洁作业，持续开展城市清洁行动。2021年各城市平均降尘量不得高于8吨/月·平方公里，不断加严降尘量控制指标，实施网格化降尘量监测考核。持续推进城市建降尘量控制指标，实施网格化降尘量监测考核。持续推进城市建成区餐饮油烟治理，2021年底前，全省大型餐饮服务单位全部实现在线监控，市级监控平台基本实现与所辖县（市、区）联网运行。</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根据分析，本项目的建设符合《平顶山市人民政府关于实施“三线一单”生态环境分区管控的意见》（平政〔2021〕10号）的要求。本项目为新建的釉用新材料项目，不属于国家、省绩效分级重点行业。</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项目在生产过程中产生的主要污染物为颗粒物、SO</w:t>
            </w:r>
            <w:r>
              <w:rPr>
                <w:rFonts w:hint="eastAsia" w:cs="宋体"/>
                <w:kern w:val="0"/>
                <w:sz w:val="24"/>
                <w:vertAlign w:val="subscript"/>
              </w:rPr>
              <w:t>2</w:t>
            </w:r>
            <w:r>
              <w:rPr>
                <w:rFonts w:hint="eastAsia" w:cs="宋体"/>
                <w:kern w:val="0"/>
                <w:sz w:val="24"/>
              </w:rPr>
              <w:t>、NOx。建设单位在生产过程中严格落实“六个百分之百”扬尘污染防治措施、“两个禁止”、渣土物料运输车辆管理纳入日常安全文明施工监督范围，在重污染天气预警、大风天气条件下禁止施工。</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本项目建设符合《河南省2021年大气污染防治攻坚战实施方案》的要求。</w:t>
            </w:r>
          </w:p>
          <w:p>
            <w:pPr>
              <w:autoSpaceDE w:val="0"/>
              <w:autoSpaceDN w:val="0"/>
              <w:adjustRightInd w:val="0"/>
              <w:snapToGrid w:val="0"/>
              <w:spacing w:line="360" w:lineRule="auto"/>
              <w:ind w:firstLine="480" w:firstLineChars="200"/>
              <w:rPr>
                <w:rFonts w:cs="宋体"/>
                <w:b/>
                <w:bCs/>
                <w:kern w:val="0"/>
                <w:sz w:val="24"/>
              </w:rPr>
            </w:pPr>
            <w:r>
              <w:rPr>
                <w:rFonts w:hint="eastAsia" w:cs="宋体"/>
                <w:kern w:val="0"/>
                <w:sz w:val="24"/>
              </w:rPr>
              <w:t xml:space="preserve">3 </w:t>
            </w:r>
            <w:r>
              <w:rPr>
                <w:rFonts w:hint="eastAsia" w:cs="宋体"/>
                <w:b/>
                <w:bCs/>
                <w:kern w:val="0"/>
                <w:sz w:val="24"/>
              </w:rPr>
              <w:t>与《河南省生态环境厅印发河南省工业企业大气污染防治6个专项方案的通知》（豫环文[2019]84号）相符性分析</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为贯彻落实《河南省污染防治攻坚战领导小组办公室关于印发河南省2021年大气、水、土壤污染防治攻坚战及农业农村污染治理攻坚战实施方案的通知》（豫环攻坚办〔2021〕20号）、《平顶山市生态环境局关于印发平顶山市2021年工业大气污染物全面达标提升行动方案的通知》（平环〔2021〕57号），深入开展工业企业无组织排放专项治理，持续改善全省环境空气质量，结合我省无组织排放治理现状，河南省生态环境厅制定了河南省工业企业大气污染防治6个专项方案。与本项目相关的内容见表1-</w:t>
            </w:r>
            <w:r>
              <w:rPr>
                <w:rFonts w:hint="eastAsia" w:cs="宋体"/>
                <w:kern w:val="0"/>
                <w:sz w:val="24"/>
                <w:lang w:val="en-US" w:eastAsia="zh-CN"/>
              </w:rPr>
              <w:t>4</w:t>
            </w:r>
            <w:r>
              <w:rPr>
                <w:rFonts w:hint="eastAsia" w:cs="宋体"/>
                <w:kern w:val="0"/>
                <w:sz w:val="24"/>
              </w:rPr>
              <w:t>。</w:t>
            </w:r>
          </w:p>
          <w:p>
            <w:pPr>
              <w:pStyle w:val="44"/>
              <w:tabs>
                <w:tab w:val="left" w:pos="895"/>
                <w:tab w:val="clear" w:pos="1322"/>
              </w:tabs>
              <w:spacing w:line="360" w:lineRule="auto"/>
              <w:rPr>
                <w:rFonts w:eastAsia="宋体"/>
                <w:sz w:val="24"/>
                <w:szCs w:val="24"/>
              </w:rPr>
            </w:pPr>
            <w:r>
              <w:rPr>
                <w:rFonts w:hint="eastAsia" w:eastAsia="宋体"/>
                <w:sz w:val="24"/>
                <w:szCs w:val="24"/>
              </w:rPr>
              <w:t>表1-</w:t>
            </w:r>
            <w:r>
              <w:rPr>
                <w:rFonts w:hint="eastAsia" w:eastAsia="宋体"/>
                <w:sz w:val="24"/>
                <w:szCs w:val="24"/>
                <w:lang w:val="en-US" w:eastAsia="zh-CN"/>
              </w:rPr>
              <w:t>4</w:t>
            </w:r>
            <w:r>
              <w:rPr>
                <w:rFonts w:hint="eastAsia" w:eastAsia="宋体"/>
                <w:sz w:val="24"/>
                <w:szCs w:val="24"/>
              </w:rPr>
              <w:t xml:space="preserve">    其它行业无组织排放治理标准</w:t>
            </w:r>
          </w:p>
          <w:tbl>
            <w:tblPr>
              <w:tblStyle w:val="26"/>
              <w:tblW w:w="64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8"/>
              <w:gridCol w:w="453"/>
              <w:gridCol w:w="2816"/>
              <w:gridCol w:w="23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Align w:val="center"/>
                </w:tcPr>
                <w:p>
                  <w:pPr>
                    <w:pStyle w:val="49"/>
                    <w:spacing w:line="240" w:lineRule="auto"/>
                    <w:ind w:firstLine="0" w:firstLineChars="0"/>
                    <w:jc w:val="center"/>
                    <w:rPr>
                      <w:rFonts w:ascii="Times New Roman" w:hAnsi="Times New Roman" w:cs="宋体"/>
                      <w:b/>
                      <w:bCs/>
                      <w:kern w:val="0"/>
                      <w:sz w:val="21"/>
                      <w:szCs w:val="21"/>
                    </w:rPr>
                  </w:pPr>
                  <w:r>
                    <w:rPr>
                      <w:rFonts w:hint="eastAsia" w:ascii="Times New Roman" w:hAnsi="Times New Roman" w:cs="宋体"/>
                      <w:b/>
                      <w:bCs/>
                      <w:kern w:val="0"/>
                      <w:sz w:val="21"/>
                      <w:szCs w:val="21"/>
                    </w:rPr>
                    <w:t>治理环节</w:t>
                  </w:r>
                </w:p>
              </w:tc>
              <w:tc>
                <w:tcPr>
                  <w:tcW w:w="3269" w:type="dxa"/>
                  <w:gridSpan w:val="2"/>
                  <w:vAlign w:val="center"/>
                </w:tcPr>
                <w:p>
                  <w:pPr>
                    <w:pStyle w:val="49"/>
                    <w:spacing w:line="240" w:lineRule="auto"/>
                    <w:ind w:firstLine="0" w:firstLineChars="0"/>
                    <w:jc w:val="center"/>
                    <w:rPr>
                      <w:rFonts w:ascii="Times New Roman" w:hAnsi="Times New Roman" w:cs="宋体"/>
                      <w:b/>
                      <w:bCs/>
                      <w:kern w:val="0"/>
                      <w:sz w:val="21"/>
                      <w:szCs w:val="21"/>
                    </w:rPr>
                  </w:pPr>
                  <w:r>
                    <w:rPr>
                      <w:rFonts w:hint="eastAsia" w:ascii="Times New Roman" w:hAnsi="Times New Roman" w:cs="宋体"/>
                      <w:b/>
                      <w:bCs/>
                      <w:kern w:val="0"/>
                      <w:sz w:val="21"/>
                      <w:szCs w:val="21"/>
                    </w:rPr>
                    <w:t>详细要求</w:t>
                  </w:r>
                </w:p>
              </w:tc>
              <w:tc>
                <w:tcPr>
                  <w:tcW w:w="2393" w:type="dxa"/>
                  <w:vAlign w:val="center"/>
                </w:tcPr>
                <w:p>
                  <w:pPr>
                    <w:pStyle w:val="49"/>
                    <w:spacing w:line="240" w:lineRule="auto"/>
                    <w:ind w:firstLine="0" w:firstLineChars="0"/>
                    <w:jc w:val="center"/>
                    <w:rPr>
                      <w:rFonts w:ascii="Times New Roman" w:hAnsi="Times New Roman" w:cs="宋体"/>
                      <w:b/>
                      <w:bCs/>
                      <w:kern w:val="0"/>
                      <w:sz w:val="21"/>
                      <w:szCs w:val="21"/>
                    </w:rPr>
                  </w:pPr>
                  <w:r>
                    <w:rPr>
                      <w:rFonts w:hint="eastAsia" w:ascii="Times New Roman" w:hAnsi="Times New Roman" w:cs="宋体"/>
                      <w:b/>
                      <w:bCs/>
                      <w:kern w:val="0"/>
                      <w:sz w:val="21"/>
                      <w:szCs w:val="21"/>
                    </w:rPr>
                    <w:t>厂区拟建情况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restart"/>
                  <w:tcBorders>
                    <w:top w:val="single" w:color="auto" w:sz="4" w:space="0"/>
                  </w:tcBorders>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料场密闭治理</w:t>
                  </w:r>
                </w:p>
              </w:tc>
              <w:tc>
                <w:tcPr>
                  <w:tcW w:w="453" w:type="dxa"/>
                  <w:tcBorders>
                    <w:top w:val="single" w:color="auto" w:sz="4" w:space="0"/>
                  </w:tcBorders>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1</w:t>
                  </w:r>
                </w:p>
              </w:tc>
              <w:tc>
                <w:tcPr>
                  <w:tcW w:w="2816"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所有物料（包括原辅料、半成品、成品）进库存放，厂界内无露天堆放物料。料场安装喷干雾抑尘设施。</w:t>
                  </w:r>
                </w:p>
              </w:tc>
              <w:tc>
                <w:tcPr>
                  <w:tcW w:w="2393" w:type="dxa"/>
                  <w:vAlign w:val="center"/>
                </w:tcPr>
                <w:p>
                  <w:pPr>
                    <w:autoSpaceDE w:val="0"/>
                    <w:autoSpaceDN w:val="0"/>
                    <w:adjustRightInd w:val="0"/>
                    <w:rPr>
                      <w:rFonts w:cs="宋体"/>
                      <w:kern w:val="0"/>
                      <w:szCs w:val="21"/>
                    </w:rPr>
                  </w:pPr>
                  <w:r>
                    <w:rPr>
                      <w:rFonts w:hint="eastAsia" w:cs="宋体"/>
                      <w:kern w:val="0"/>
                      <w:szCs w:val="21"/>
                    </w:rPr>
                    <w:t>本项目所有物料，包括原辅料、半成品、成品均进库存放，厂界内无露天堆放物料。料场安装喷干雾抑尘设施。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2</w:t>
                  </w:r>
                </w:p>
              </w:tc>
              <w:tc>
                <w:tcPr>
                  <w:tcW w:w="2816" w:type="dxa"/>
                  <w:vAlign w:val="center"/>
                </w:tcPr>
                <w:p>
                  <w:pPr>
                    <w:autoSpaceDE w:val="0"/>
                    <w:autoSpaceDN w:val="0"/>
                    <w:adjustRightInd w:val="0"/>
                    <w:rPr>
                      <w:rFonts w:cs="宋体"/>
                      <w:kern w:val="0"/>
                      <w:szCs w:val="21"/>
                    </w:rPr>
                  </w:pPr>
                  <w:r>
                    <w:rPr>
                      <w:rFonts w:hint="eastAsia" w:cs="宋体"/>
                      <w:kern w:val="0"/>
                      <w:szCs w:val="21"/>
                    </w:rPr>
                    <w:t>密闭料场必须覆盖所有堆场料区（堆放区、工作区和主通道区）。</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本项目物料堆放区、工作区、主通道区均设置在密闭的料场内。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3</w:t>
                  </w:r>
                </w:p>
              </w:tc>
              <w:tc>
                <w:tcPr>
                  <w:tcW w:w="2816" w:type="dxa"/>
                  <w:vAlign w:val="center"/>
                </w:tcPr>
                <w:p>
                  <w:pPr>
                    <w:autoSpaceDE w:val="0"/>
                    <w:autoSpaceDN w:val="0"/>
                    <w:adjustRightInd w:val="0"/>
                    <w:rPr>
                      <w:rFonts w:cs="宋体"/>
                      <w:kern w:val="0"/>
                      <w:szCs w:val="21"/>
                    </w:rPr>
                  </w:pPr>
                  <w:r>
                    <w:rPr>
                      <w:rFonts w:hint="eastAsia" w:cs="宋体"/>
                      <w:kern w:val="0"/>
                      <w:szCs w:val="21"/>
                    </w:rPr>
                    <w:t>车间、料库四面密闭，通道口安装卷帘门、推拉门等封闭性良好且便于开关的硬质门，在无车辆出入时将门关闭，保证空气合理流动不产生湍流。</w:t>
                  </w:r>
                </w:p>
              </w:tc>
              <w:tc>
                <w:tcPr>
                  <w:tcW w:w="2393" w:type="dxa"/>
                  <w:vAlign w:val="center"/>
                </w:tcPr>
                <w:p>
                  <w:pPr>
                    <w:autoSpaceDE w:val="0"/>
                    <w:autoSpaceDN w:val="0"/>
                    <w:adjustRightInd w:val="0"/>
                    <w:rPr>
                      <w:rFonts w:cs="宋体"/>
                      <w:kern w:val="0"/>
                      <w:szCs w:val="21"/>
                    </w:rPr>
                  </w:pPr>
                  <w:r>
                    <w:rPr>
                      <w:rFonts w:hint="eastAsia" w:cs="宋体"/>
                      <w:kern w:val="0"/>
                      <w:szCs w:val="21"/>
                    </w:rPr>
                    <w:t>本项目车间、料库四面密闭，通道口安装卷帘门，在无车辆出入时将门关闭。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4</w:t>
                  </w:r>
                </w:p>
              </w:tc>
              <w:tc>
                <w:tcPr>
                  <w:tcW w:w="2816" w:type="dxa"/>
                  <w:vAlign w:val="center"/>
                </w:tcPr>
                <w:p>
                  <w:pPr>
                    <w:autoSpaceDE w:val="0"/>
                    <w:autoSpaceDN w:val="0"/>
                    <w:adjustRightInd w:val="0"/>
                    <w:rPr>
                      <w:rFonts w:cs="宋体"/>
                      <w:kern w:val="0"/>
                      <w:szCs w:val="21"/>
                    </w:rPr>
                  </w:pPr>
                  <w:r>
                    <w:rPr>
                      <w:rFonts w:hint="eastAsia" w:cs="宋体"/>
                      <w:kern w:val="0"/>
                      <w:szCs w:val="21"/>
                    </w:rPr>
                    <w:t>所有地面完成硬化，并保证除物料堆放区域外没有明显积尘。</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bCs/>
                      <w:kern w:val="0"/>
                      <w:sz w:val="21"/>
                      <w:szCs w:val="21"/>
                    </w:rPr>
                    <w:t>料场内所有地面均硬化，</w:t>
                  </w:r>
                  <w:r>
                    <w:rPr>
                      <w:rFonts w:hint="eastAsia" w:ascii="Times New Roman" w:hAnsi="Times New Roman" w:cs="宋体"/>
                      <w:kern w:val="0"/>
                      <w:sz w:val="21"/>
                      <w:szCs w:val="21"/>
                    </w:rPr>
                    <w:t>并安排专人及时对地面进行清理，保证除物料堆放区域外没有明显积尘。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5</w:t>
                  </w:r>
                </w:p>
              </w:tc>
              <w:tc>
                <w:tcPr>
                  <w:tcW w:w="2816" w:type="dxa"/>
                  <w:vAlign w:val="center"/>
                </w:tcPr>
                <w:p>
                  <w:pPr>
                    <w:autoSpaceDE w:val="0"/>
                    <w:autoSpaceDN w:val="0"/>
                    <w:adjustRightInd w:val="0"/>
                    <w:rPr>
                      <w:rFonts w:cs="宋体"/>
                      <w:kern w:val="0"/>
                      <w:szCs w:val="21"/>
                    </w:rPr>
                  </w:pPr>
                  <w:r>
                    <w:rPr>
                      <w:rFonts w:hint="eastAsia" w:cs="宋体"/>
                      <w:kern w:val="0"/>
                      <w:szCs w:val="21"/>
                    </w:rPr>
                    <w:t>每个下料口设置独立集气罩，配套的除尘设施不与其他工序混用。</w:t>
                  </w:r>
                </w:p>
              </w:tc>
              <w:tc>
                <w:tcPr>
                  <w:tcW w:w="2393" w:type="dxa"/>
                  <w:vAlign w:val="center"/>
                </w:tcPr>
                <w:p>
                  <w:pPr>
                    <w:autoSpaceDE w:val="0"/>
                    <w:autoSpaceDN w:val="0"/>
                    <w:adjustRightInd w:val="0"/>
                    <w:rPr>
                      <w:rFonts w:cs="宋体"/>
                      <w:color w:val="FF0000"/>
                      <w:kern w:val="0"/>
                      <w:szCs w:val="21"/>
                    </w:rPr>
                  </w:pPr>
                  <w:r>
                    <w:rPr>
                      <w:rFonts w:hint="eastAsia" w:cs="宋体"/>
                      <w:kern w:val="0"/>
                      <w:szCs w:val="21"/>
                    </w:rPr>
                    <w:t>每个下料口设置独立的集气罩，并配套独立的除尘设施。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6</w:t>
                  </w:r>
                </w:p>
              </w:tc>
              <w:tc>
                <w:tcPr>
                  <w:tcW w:w="2816"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厂房车间各生产工序须功能区划，各功能区安装固定的喷干雾抑尘装置。</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厂房车间内各生产工序功能区划，各功能区安装固定的喷干雾抑尘装置。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7</w:t>
                  </w:r>
                </w:p>
              </w:tc>
              <w:tc>
                <w:tcPr>
                  <w:tcW w:w="2816"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厂区出口应安装车辆冲洗装置，保证出场车辆车轮车身干净、运行不起尘。</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厂区出口处安装车辆冲洗装置，对出场车辆车轮车身清洗。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restart"/>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物料输送环节治理</w:t>
                  </w: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1</w:t>
                  </w:r>
                </w:p>
              </w:tc>
              <w:tc>
                <w:tcPr>
                  <w:tcW w:w="2816" w:type="dxa"/>
                  <w:vAlign w:val="center"/>
                </w:tcPr>
                <w:p>
                  <w:pPr>
                    <w:autoSpaceDE w:val="0"/>
                    <w:autoSpaceDN w:val="0"/>
                    <w:adjustRightInd w:val="0"/>
                    <w:rPr>
                      <w:rFonts w:cs="宋体"/>
                      <w:kern w:val="0"/>
                      <w:szCs w:val="21"/>
                    </w:rPr>
                  </w:pPr>
                  <w:r>
                    <w:rPr>
                      <w:rFonts w:hint="eastAsia" w:cs="宋体"/>
                      <w:kern w:val="0"/>
                      <w:szCs w:val="21"/>
                    </w:rPr>
                    <w:t>散状物料采用封闭式输送方式，皮带输送机受料点、卸料点应设置密闭罩，并配备除尘设施。</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本项目原料为散状物料，采用封闭式输送方式，皮带输送机受料点、卸料点均设置密闭罩，并配备除尘设施。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2</w:t>
                  </w:r>
                </w:p>
              </w:tc>
              <w:tc>
                <w:tcPr>
                  <w:tcW w:w="2816" w:type="dxa"/>
                  <w:vAlign w:val="center"/>
                </w:tcPr>
                <w:p>
                  <w:pPr>
                    <w:autoSpaceDE w:val="0"/>
                    <w:autoSpaceDN w:val="0"/>
                    <w:adjustRightInd w:val="0"/>
                    <w:rPr>
                      <w:rFonts w:cs="宋体"/>
                      <w:kern w:val="0"/>
                      <w:szCs w:val="21"/>
                    </w:rPr>
                  </w:pPr>
                  <w:r>
                    <w:rPr>
                      <w:rFonts w:hint="eastAsia" w:cs="宋体"/>
                      <w:kern w:val="0"/>
                      <w:szCs w:val="21"/>
                    </w:rPr>
                    <w:t>皮带输送机或物料提升机需在密闭廊道内运行，并在所有落料位置设置集尘装置及配备除尘系统。</w:t>
                  </w:r>
                </w:p>
              </w:tc>
              <w:tc>
                <w:tcPr>
                  <w:tcW w:w="2393" w:type="dxa"/>
                  <w:vAlign w:val="center"/>
                </w:tcPr>
                <w:p>
                  <w:pPr>
                    <w:autoSpaceDE w:val="0"/>
                    <w:autoSpaceDN w:val="0"/>
                    <w:adjustRightInd w:val="0"/>
                    <w:rPr>
                      <w:rFonts w:cs="宋体"/>
                      <w:kern w:val="0"/>
                      <w:szCs w:val="21"/>
                    </w:rPr>
                  </w:pPr>
                  <w:r>
                    <w:rPr>
                      <w:rFonts w:hint="eastAsia" w:cs="宋体"/>
                      <w:kern w:val="0"/>
                      <w:szCs w:val="21"/>
                    </w:rPr>
                    <w:t>本项目皮带输送机在密闭廊道内运行，并在所有落料位置设置集尘装置及配备除尘设施。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3</w:t>
                  </w:r>
                </w:p>
              </w:tc>
              <w:tc>
                <w:tcPr>
                  <w:tcW w:w="2816" w:type="dxa"/>
                  <w:vAlign w:val="center"/>
                </w:tcPr>
                <w:p>
                  <w:pPr>
                    <w:autoSpaceDE w:val="0"/>
                    <w:autoSpaceDN w:val="0"/>
                    <w:adjustRightInd w:val="0"/>
                    <w:rPr>
                      <w:rFonts w:cs="宋体"/>
                      <w:kern w:val="0"/>
                      <w:szCs w:val="21"/>
                    </w:rPr>
                  </w:pPr>
                  <w:r>
                    <w:rPr>
                      <w:rFonts w:hint="eastAsia" w:cs="宋体"/>
                      <w:kern w:val="0"/>
                      <w:szCs w:val="21"/>
                    </w:rPr>
                    <w:t>运输车辆装载高度最高点不得超过车辆槽帮上沿</w:t>
                  </w:r>
                  <w:r>
                    <w:rPr>
                      <w:rFonts w:cs="TimesNewRomanPSMT"/>
                      <w:kern w:val="0"/>
                      <w:szCs w:val="21"/>
                    </w:rPr>
                    <w:t>40</w:t>
                  </w:r>
                  <w:r>
                    <w:rPr>
                      <w:rFonts w:hint="eastAsia" w:cs="宋体"/>
                      <w:kern w:val="0"/>
                      <w:szCs w:val="21"/>
                    </w:rPr>
                    <w:t>厘米，两侧边缘应当低于槽帮上缘</w:t>
                  </w:r>
                  <w:r>
                    <w:rPr>
                      <w:rFonts w:cs="TimesNewRomanPSMT"/>
                      <w:kern w:val="0"/>
                      <w:szCs w:val="21"/>
                    </w:rPr>
                    <w:t>10</w:t>
                  </w:r>
                  <w:r>
                    <w:rPr>
                      <w:rFonts w:hint="eastAsia" w:cs="宋体"/>
                      <w:kern w:val="0"/>
                      <w:szCs w:val="21"/>
                    </w:rPr>
                    <w:t>厘米，车斗应采用苫布覆盖，苫布边缘至少要遮住槽帮上沿以下</w:t>
                  </w:r>
                  <w:r>
                    <w:rPr>
                      <w:rFonts w:cs="TimesNewRomanPSMT"/>
                      <w:kern w:val="0"/>
                      <w:szCs w:val="21"/>
                    </w:rPr>
                    <w:t>15</w:t>
                  </w:r>
                  <w:r>
                    <w:rPr>
                      <w:rFonts w:hint="eastAsia" w:cs="宋体"/>
                      <w:kern w:val="0"/>
                      <w:szCs w:val="21"/>
                    </w:rPr>
                    <w:t>厘米，禁止厂内露天转运散状物料。</w:t>
                  </w:r>
                </w:p>
              </w:tc>
              <w:tc>
                <w:tcPr>
                  <w:tcW w:w="239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按照要求执行。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4</w:t>
                  </w:r>
                </w:p>
              </w:tc>
              <w:tc>
                <w:tcPr>
                  <w:tcW w:w="2816" w:type="dxa"/>
                  <w:vAlign w:val="center"/>
                </w:tcPr>
                <w:p>
                  <w:pPr>
                    <w:autoSpaceDE w:val="0"/>
                    <w:autoSpaceDN w:val="0"/>
                    <w:adjustRightInd w:val="0"/>
                    <w:rPr>
                      <w:rFonts w:cs="宋体"/>
                      <w:kern w:val="0"/>
                      <w:szCs w:val="21"/>
                    </w:rPr>
                  </w:pPr>
                  <w:r>
                    <w:rPr>
                      <w:rFonts w:hint="eastAsia" w:cs="宋体"/>
                      <w:kern w:val="0"/>
                      <w:szCs w:val="21"/>
                    </w:rPr>
                    <w:t>除尘器卸灰不直接卸落到地面，卸灰区封闭。除尘灰采用气力输送、罐车等密闭方式运输；采用非密闭方式运输的，车辆应苫盖，装卸车时应采取加湿等措施抑尘。</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本项目除尘器卸灰区封闭。收集的粉尘作为产品外售。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restart"/>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生产环节治理</w:t>
                  </w: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1</w:t>
                  </w:r>
                </w:p>
              </w:tc>
              <w:tc>
                <w:tcPr>
                  <w:tcW w:w="2816" w:type="dxa"/>
                  <w:vAlign w:val="center"/>
                </w:tcPr>
                <w:p>
                  <w:pPr>
                    <w:autoSpaceDE w:val="0"/>
                    <w:autoSpaceDN w:val="0"/>
                    <w:adjustRightInd w:val="0"/>
                    <w:rPr>
                      <w:rFonts w:cs="宋体"/>
                      <w:kern w:val="0"/>
                      <w:szCs w:val="21"/>
                    </w:rPr>
                  </w:pPr>
                  <w:r>
                    <w:rPr>
                      <w:rFonts w:hint="eastAsia" w:cs="宋体"/>
                      <w:kern w:val="0"/>
                      <w:szCs w:val="21"/>
                    </w:rPr>
                    <w:t>物料上料、破碎、筛分、混料等生产过程中的产尘点应在封闭的厂房内进行二次封闭，并安装集气设施和除尘设施。</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本项目物料上料、破碎、筛分、混料等生产过程中的产尘点在封闭的厂房内进行二次封闭，并安装集气设施和除尘设施。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2</w:t>
                  </w:r>
                </w:p>
              </w:tc>
              <w:tc>
                <w:tcPr>
                  <w:tcW w:w="2816" w:type="dxa"/>
                  <w:vAlign w:val="center"/>
                </w:tcPr>
                <w:p>
                  <w:pPr>
                    <w:autoSpaceDE w:val="0"/>
                    <w:autoSpaceDN w:val="0"/>
                    <w:adjustRightInd w:val="0"/>
                    <w:rPr>
                      <w:rFonts w:cs="宋体"/>
                      <w:kern w:val="0"/>
                      <w:szCs w:val="21"/>
                    </w:rPr>
                  </w:pPr>
                  <w:r>
                    <w:rPr>
                      <w:rFonts w:hint="eastAsia" w:cs="宋体"/>
                      <w:kern w:val="0"/>
                      <w:szCs w:val="21"/>
                    </w:rPr>
                    <w:t>在生产过程中的产生VOC</w:t>
                  </w:r>
                  <w:r>
                    <w:rPr>
                      <w:rFonts w:hint="eastAsia" w:cs="宋体"/>
                      <w:kern w:val="0"/>
                      <w:szCs w:val="21"/>
                      <w:vertAlign w:val="subscript"/>
                    </w:rPr>
                    <w:t>S</w:t>
                  </w:r>
                  <w:r>
                    <w:rPr>
                      <w:rFonts w:hint="eastAsia" w:cs="宋体"/>
                      <w:kern w:val="0"/>
                      <w:szCs w:val="21"/>
                    </w:rPr>
                    <w:t>的工序应在封闭的厂房内进行二次封闭，并安装集气设施和VOCs处理设施。</w:t>
                  </w:r>
                </w:p>
              </w:tc>
              <w:tc>
                <w:tcPr>
                  <w:tcW w:w="239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3</w:t>
                  </w:r>
                </w:p>
              </w:tc>
              <w:tc>
                <w:tcPr>
                  <w:tcW w:w="2816" w:type="dxa"/>
                  <w:vAlign w:val="center"/>
                </w:tcPr>
                <w:p>
                  <w:pPr>
                    <w:autoSpaceDE w:val="0"/>
                    <w:autoSpaceDN w:val="0"/>
                    <w:adjustRightInd w:val="0"/>
                    <w:rPr>
                      <w:rFonts w:cs="宋体"/>
                      <w:kern w:val="0"/>
                      <w:szCs w:val="21"/>
                    </w:rPr>
                  </w:pPr>
                  <w:r>
                    <w:rPr>
                      <w:rFonts w:hint="eastAsia" w:cs="宋体"/>
                      <w:kern w:val="0"/>
                      <w:szCs w:val="21"/>
                    </w:rPr>
                    <w:t>其他方面：禁止生产车间内散放原料，需采用全封闭式</w:t>
                  </w:r>
                  <w:r>
                    <w:rPr>
                      <w:rFonts w:cs="宋体"/>
                      <w:kern w:val="0"/>
                      <w:szCs w:val="21"/>
                    </w:rPr>
                    <w:t>/</w:t>
                  </w:r>
                  <w:r>
                    <w:rPr>
                      <w:rFonts w:hint="eastAsia" w:cs="宋体"/>
                      <w:kern w:val="0"/>
                      <w:szCs w:val="21"/>
                    </w:rPr>
                    <w:t>地下料仓，并配备完备的废气收集和处理系统，生产环节必须在密闭良好的车间内运行。</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本项目散装物料均在全封闭式料库内存放，并在上方设置喷干雾抑尘设施，生产环节在密闭良好的车间内运行。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restart"/>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厂区、车辆治理</w:t>
                  </w: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1</w:t>
                  </w:r>
                </w:p>
              </w:tc>
              <w:tc>
                <w:tcPr>
                  <w:tcW w:w="2816" w:type="dxa"/>
                  <w:vAlign w:val="center"/>
                </w:tcPr>
                <w:p>
                  <w:pPr>
                    <w:autoSpaceDE w:val="0"/>
                    <w:autoSpaceDN w:val="0"/>
                    <w:adjustRightInd w:val="0"/>
                    <w:rPr>
                      <w:rFonts w:cs="宋体"/>
                      <w:kern w:val="0"/>
                      <w:szCs w:val="21"/>
                    </w:rPr>
                  </w:pPr>
                  <w:r>
                    <w:rPr>
                      <w:rFonts w:hint="eastAsia" w:cs="宋体"/>
                      <w:kern w:val="0"/>
                      <w:szCs w:val="21"/>
                    </w:rPr>
                    <w:t>厂区道路硬化，平整无破损，无积尘，厂区无裸露空地，闲置裸露空地绿化。</w:t>
                  </w:r>
                </w:p>
              </w:tc>
              <w:tc>
                <w:tcPr>
                  <w:tcW w:w="239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厂区内地面硬化；及时对厂区道路清扫，保证无积尘，厂区无裸露空地，闲置裸露空地绿化。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2</w:t>
                  </w:r>
                </w:p>
              </w:tc>
              <w:tc>
                <w:tcPr>
                  <w:tcW w:w="2816" w:type="dxa"/>
                  <w:vAlign w:val="center"/>
                </w:tcPr>
                <w:p>
                  <w:pPr>
                    <w:autoSpaceDE w:val="0"/>
                    <w:autoSpaceDN w:val="0"/>
                    <w:adjustRightInd w:val="0"/>
                    <w:rPr>
                      <w:rFonts w:cs="宋体"/>
                      <w:kern w:val="0"/>
                      <w:szCs w:val="21"/>
                    </w:rPr>
                  </w:pPr>
                  <w:r>
                    <w:rPr>
                      <w:rFonts w:hint="eastAsia" w:cs="宋体"/>
                      <w:kern w:val="0"/>
                      <w:szCs w:val="21"/>
                    </w:rPr>
                    <w:t>对厂区道路定期洒水清扫。</w:t>
                  </w:r>
                </w:p>
              </w:tc>
              <w:tc>
                <w:tcPr>
                  <w:tcW w:w="2393" w:type="dxa"/>
                  <w:vAlign w:val="center"/>
                </w:tcPr>
                <w:p>
                  <w:pPr>
                    <w:pStyle w:val="49"/>
                    <w:spacing w:line="240" w:lineRule="auto"/>
                    <w:ind w:firstLine="0" w:firstLineChars="0"/>
                    <w:rPr>
                      <w:rFonts w:ascii="Times New Roman" w:hAnsi="Times New Roman" w:cs="宋体"/>
                      <w:kern w:val="0"/>
                      <w:sz w:val="21"/>
                      <w:szCs w:val="21"/>
                    </w:rPr>
                  </w:pPr>
                  <w:r>
                    <w:rPr>
                      <w:rFonts w:hint="eastAsia" w:ascii="Times New Roman" w:hAnsi="Times New Roman" w:cs="宋体"/>
                      <w:kern w:val="0"/>
                      <w:sz w:val="21"/>
                      <w:szCs w:val="21"/>
                    </w:rPr>
                    <w:t>本项目配备洒水车定期对厂区道路进行洒水清扫。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758" w:type="dxa"/>
                  <w:vMerge w:val="continue"/>
                  <w:vAlign w:val="center"/>
                </w:tcPr>
                <w:p>
                  <w:pPr>
                    <w:pStyle w:val="49"/>
                    <w:spacing w:line="240" w:lineRule="auto"/>
                    <w:ind w:firstLine="0" w:firstLineChars="0"/>
                    <w:jc w:val="center"/>
                    <w:rPr>
                      <w:rFonts w:ascii="Times New Roman" w:hAnsi="Times New Roman" w:cs="宋体"/>
                      <w:kern w:val="0"/>
                      <w:sz w:val="21"/>
                      <w:szCs w:val="21"/>
                    </w:rPr>
                  </w:pPr>
                </w:p>
              </w:tc>
              <w:tc>
                <w:tcPr>
                  <w:tcW w:w="453" w:type="dxa"/>
                  <w:vAlign w:val="center"/>
                </w:tcPr>
                <w:p>
                  <w:pPr>
                    <w:pStyle w:val="49"/>
                    <w:spacing w:line="240" w:lineRule="auto"/>
                    <w:ind w:firstLine="0" w:firstLineChars="0"/>
                    <w:jc w:val="center"/>
                    <w:rPr>
                      <w:rFonts w:ascii="Times New Roman" w:hAnsi="Times New Roman" w:cs="宋体"/>
                      <w:kern w:val="0"/>
                      <w:sz w:val="21"/>
                      <w:szCs w:val="21"/>
                    </w:rPr>
                  </w:pPr>
                  <w:r>
                    <w:rPr>
                      <w:rFonts w:hint="eastAsia" w:ascii="Times New Roman" w:hAnsi="Times New Roman" w:cs="宋体"/>
                      <w:kern w:val="0"/>
                      <w:sz w:val="21"/>
                      <w:szCs w:val="21"/>
                    </w:rPr>
                    <w:t>3</w:t>
                  </w:r>
                </w:p>
              </w:tc>
              <w:tc>
                <w:tcPr>
                  <w:tcW w:w="2816" w:type="dxa"/>
                  <w:vAlign w:val="center"/>
                </w:tcPr>
                <w:p>
                  <w:pPr>
                    <w:autoSpaceDE w:val="0"/>
                    <w:autoSpaceDN w:val="0"/>
                    <w:adjustRightInd w:val="0"/>
                    <w:rPr>
                      <w:rFonts w:cs="宋体"/>
                      <w:kern w:val="0"/>
                      <w:szCs w:val="21"/>
                    </w:rPr>
                  </w:pPr>
                  <w:r>
                    <w:rPr>
                      <w:rFonts w:hint="eastAsia" w:cs="宋体"/>
                      <w:kern w:val="0"/>
                      <w:szCs w:val="21"/>
                    </w:rPr>
                    <w:t>企业出厂口处配备高压清洗装置对所有车辆车轮、底盘进行冲洗，严禁带泥上路。洗车平台四周应设置洗车废水收集防治设施。</w:t>
                  </w:r>
                </w:p>
              </w:tc>
              <w:tc>
                <w:tcPr>
                  <w:tcW w:w="2393" w:type="dxa"/>
                  <w:vAlign w:val="center"/>
                </w:tcPr>
                <w:p>
                  <w:pPr>
                    <w:autoSpaceDE w:val="0"/>
                    <w:autoSpaceDN w:val="0"/>
                    <w:adjustRightInd w:val="0"/>
                    <w:rPr>
                      <w:rFonts w:cs="宋体"/>
                      <w:kern w:val="0"/>
                      <w:szCs w:val="21"/>
                    </w:rPr>
                  </w:pPr>
                  <w:r>
                    <w:rPr>
                      <w:rFonts w:hint="eastAsia" w:cs="宋体"/>
                      <w:kern w:val="0"/>
                      <w:szCs w:val="21"/>
                    </w:rPr>
                    <w:t>本项目在厂区出口处配备高压清洗装置对所有车辆车轮、底盘进行冲洗，并设置洗车废水沉淀池。</w:t>
                  </w:r>
                </w:p>
              </w:tc>
            </w:tr>
          </w:tbl>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本项目严格按照评价提出的措施进行建设，符合其他行业无组织排放治理方案要求。</w:t>
            </w: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p>
            <w:pPr>
              <w:autoSpaceDE w:val="0"/>
              <w:autoSpaceDN w:val="0"/>
              <w:adjustRightInd w:val="0"/>
              <w:snapToGrid w:val="0"/>
              <w:spacing w:line="120" w:lineRule="exact"/>
              <w:rPr>
                <w:rFonts w:cs="宋体"/>
                <w:kern w:val="0"/>
                <w:sz w:val="24"/>
              </w:rPr>
            </w:pPr>
          </w:p>
        </w:tc>
      </w:tr>
    </w:tbl>
    <w:p>
      <w:pPr>
        <w:pStyle w:val="15"/>
        <w:sectPr>
          <w:pgSz w:w="11906" w:h="16838"/>
          <w:pgMar w:top="1701" w:right="1531" w:bottom="1701" w:left="1531" w:header="851" w:footer="1077" w:gutter="0"/>
          <w:cols w:space="720" w:num="1"/>
          <w:docGrid w:linePitch="312" w:charSpace="0"/>
        </w:sectPr>
      </w:pPr>
    </w:p>
    <w:p>
      <w:pPr>
        <w:pStyle w:val="21"/>
        <w:jc w:val="center"/>
        <w:outlineLvl w:val="0"/>
        <w:rPr>
          <w:rFonts w:ascii="Times New Roman" w:hAnsi="Times New Roman"/>
          <w:b/>
          <w:bCs/>
          <w:snapToGrid w:val="0"/>
          <w:sz w:val="30"/>
          <w:szCs w:val="30"/>
        </w:rPr>
      </w:pPr>
      <w:r>
        <w:rPr>
          <w:rFonts w:hint="eastAsia" w:ascii="Times New Roman" w:hAnsi="Times New Roman"/>
          <w:b/>
          <w:bCs/>
          <w:snapToGrid w:val="0"/>
          <w:sz w:val="30"/>
          <w:szCs w:val="30"/>
        </w:rPr>
        <w:t>二、建设项目工程分析</w:t>
      </w:r>
    </w:p>
    <w:tbl>
      <w:tblPr>
        <w:tblStyle w:val="26"/>
        <w:tblW w:w="898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3"/>
        <w:gridCol w:w="81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47" w:hRule="atLeast"/>
          <w:jc w:val="center"/>
        </w:trPr>
        <w:tc>
          <w:tcPr>
            <w:tcW w:w="823" w:type="dxa"/>
            <w:vAlign w:val="center"/>
          </w:tcPr>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建设内容</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both"/>
              <w:rPr>
                <w:rFonts w:ascii="Times New Roman" w:hAnsi="Times New Roman" w:cs="宋体"/>
                <w:szCs w:val="24"/>
              </w:rPr>
            </w:pPr>
          </w:p>
        </w:tc>
        <w:tc>
          <w:tcPr>
            <w:tcW w:w="8161" w:type="dxa"/>
          </w:tcPr>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1 建设内容</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本项目位于鲁山县产业集聚区北区，租用平顶山市银地源实业有限公司和平顶山市唐保耐火材料有限公司部分用地进行建设（租赁协议见附件4</w:t>
            </w:r>
            <w:r>
              <w:rPr>
                <w:rFonts w:hint="eastAsia" w:cs="宋体"/>
                <w:kern w:val="0"/>
                <w:sz w:val="24"/>
                <w:lang w:eastAsia="zh-CN"/>
              </w:rPr>
              <w:t>、</w:t>
            </w:r>
            <w:r>
              <w:rPr>
                <w:rFonts w:hint="eastAsia" w:cs="宋体"/>
                <w:b/>
                <w:bCs/>
                <w:kern w:val="0"/>
                <w:sz w:val="24"/>
                <w:u w:val="single"/>
                <w:lang w:val="en-US" w:eastAsia="zh-CN"/>
              </w:rPr>
              <w:t>附件5</w:t>
            </w:r>
            <w:r>
              <w:rPr>
                <w:rFonts w:hint="eastAsia" w:cs="宋体"/>
                <w:kern w:val="0"/>
                <w:sz w:val="24"/>
              </w:rPr>
              <w:t>），项目基本组成情况见下表。</w:t>
            </w:r>
          </w:p>
          <w:p>
            <w:pPr>
              <w:pStyle w:val="44"/>
              <w:tabs>
                <w:tab w:val="left" w:pos="895"/>
                <w:tab w:val="clear" w:pos="1322"/>
              </w:tabs>
              <w:spacing w:line="360" w:lineRule="auto"/>
              <w:rPr>
                <w:rFonts w:eastAsia="宋体"/>
                <w:sz w:val="24"/>
                <w:szCs w:val="24"/>
              </w:rPr>
            </w:pPr>
            <w:r>
              <w:rPr>
                <w:rFonts w:hint="eastAsia" w:eastAsia="宋体"/>
                <w:sz w:val="24"/>
                <w:szCs w:val="24"/>
              </w:rPr>
              <w:t>表2-1    项目组成情况一览表</w:t>
            </w:r>
          </w:p>
          <w:tbl>
            <w:tblPr>
              <w:tblStyle w:val="26"/>
              <w:tblW w:w="79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1069"/>
              <w:gridCol w:w="1950"/>
              <w:gridCol w:w="1987"/>
              <w:gridCol w:w="1201"/>
              <w:gridCol w:w="10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Align w:val="center"/>
                </w:tcPr>
                <w:p>
                  <w:pPr>
                    <w:snapToGrid w:val="0"/>
                    <w:jc w:val="center"/>
                    <w:rPr>
                      <w:b/>
                      <w:szCs w:val="21"/>
                    </w:rPr>
                  </w:pPr>
                  <w:r>
                    <w:rPr>
                      <w:b/>
                      <w:szCs w:val="21"/>
                    </w:rPr>
                    <w:t>类别</w:t>
                  </w:r>
                </w:p>
              </w:tc>
              <w:tc>
                <w:tcPr>
                  <w:tcW w:w="1069" w:type="dxa"/>
                  <w:tcBorders>
                    <w:bottom w:val="single" w:color="auto" w:sz="4" w:space="0"/>
                  </w:tcBorders>
                  <w:vAlign w:val="center"/>
                </w:tcPr>
                <w:p>
                  <w:pPr>
                    <w:snapToGrid w:val="0"/>
                    <w:jc w:val="center"/>
                    <w:rPr>
                      <w:b/>
                      <w:szCs w:val="21"/>
                    </w:rPr>
                  </w:pPr>
                  <w:r>
                    <w:rPr>
                      <w:b/>
                      <w:szCs w:val="21"/>
                    </w:rPr>
                    <w:t>名称</w:t>
                  </w:r>
                </w:p>
              </w:tc>
              <w:tc>
                <w:tcPr>
                  <w:tcW w:w="5138" w:type="dxa"/>
                  <w:gridSpan w:val="3"/>
                  <w:vAlign w:val="center"/>
                </w:tcPr>
                <w:p>
                  <w:pPr>
                    <w:snapToGrid w:val="0"/>
                    <w:jc w:val="center"/>
                    <w:rPr>
                      <w:b/>
                      <w:szCs w:val="21"/>
                    </w:rPr>
                  </w:pPr>
                  <w:r>
                    <w:rPr>
                      <w:rFonts w:hint="eastAsia"/>
                      <w:b/>
                      <w:szCs w:val="21"/>
                    </w:rPr>
                    <w:t>建设内容</w:t>
                  </w:r>
                </w:p>
              </w:tc>
              <w:tc>
                <w:tcPr>
                  <w:tcW w:w="1078" w:type="dxa"/>
                  <w:vAlign w:val="center"/>
                </w:tcPr>
                <w:p>
                  <w:pPr>
                    <w:snapToGrid w:val="0"/>
                    <w:jc w:val="center"/>
                    <w:rPr>
                      <w:rFonts w:hint="eastAsia" w:eastAsia="宋体"/>
                      <w:b/>
                      <w:szCs w:val="21"/>
                      <w:lang w:val="en-US" w:eastAsia="zh-CN"/>
                    </w:rPr>
                  </w:pPr>
                  <w:r>
                    <w:rPr>
                      <w:rFonts w:hint="eastAsia"/>
                      <w:b/>
                      <w:szCs w:val="21"/>
                      <w:u w:val="single"/>
                      <w:lang w:val="en-US"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Align w:val="center"/>
                </w:tcPr>
                <w:p>
                  <w:pPr>
                    <w:pStyle w:val="50"/>
                    <w:snapToGrid w:val="0"/>
                    <w:jc w:val="center"/>
                  </w:pPr>
                  <w:r>
                    <w:rPr>
                      <w:rFonts w:hint="eastAsia"/>
                    </w:rPr>
                    <w:t>主体工程</w:t>
                  </w:r>
                </w:p>
              </w:tc>
              <w:tc>
                <w:tcPr>
                  <w:tcW w:w="1069" w:type="dxa"/>
                  <w:tcBorders>
                    <w:top w:val="single" w:color="auto" w:sz="4" w:space="0"/>
                  </w:tcBorders>
                  <w:vAlign w:val="center"/>
                </w:tcPr>
                <w:p>
                  <w:pPr>
                    <w:pStyle w:val="50"/>
                    <w:snapToGrid w:val="0"/>
                    <w:jc w:val="center"/>
                  </w:pPr>
                  <w:r>
                    <w:rPr>
                      <w:rFonts w:hint="eastAsia"/>
                    </w:rPr>
                    <w:t>釉用新材料生产线</w:t>
                  </w:r>
                </w:p>
              </w:tc>
              <w:tc>
                <w:tcPr>
                  <w:tcW w:w="5138" w:type="dxa"/>
                  <w:gridSpan w:val="3"/>
                  <w:vAlign w:val="center"/>
                </w:tcPr>
                <w:p>
                  <w:pPr>
                    <w:pStyle w:val="50"/>
                    <w:snapToGrid w:val="0"/>
                    <w:rPr>
                      <w:color w:val="000000"/>
                    </w:rPr>
                  </w:pPr>
                  <w:r>
                    <w:rPr>
                      <w:rFonts w:hint="eastAsia"/>
                      <w:color w:val="000000"/>
                    </w:rPr>
                    <w:t>新建釉用新材料生产线。主要包括：破碎工序、球磨工序、烘干工序。</w:t>
                  </w:r>
                </w:p>
                <w:p>
                  <w:pPr>
                    <w:pStyle w:val="50"/>
                    <w:snapToGrid w:val="0"/>
                    <w:rPr>
                      <w:color w:val="000000"/>
                    </w:rPr>
                  </w:pPr>
                  <w:r>
                    <w:rPr>
                      <w:rFonts w:hint="eastAsia"/>
                      <w:color w:val="000000"/>
                    </w:rPr>
                    <w:t>破碎工序：位于破碎车间内，占地面积840m</w:t>
                  </w:r>
                  <w:r>
                    <w:rPr>
                      <w:rFonts w:hint="eastAsia"/>
                      <w:color w:val="000000"/>
                      <w:vertAlign w:val="superscript"/>
                    </w:rPr>
                    <w:t>2</w:t>
                  </w:r>
                  <w:r>
                    <w:rPr>
                      <w:rFonts w:hint="eastAsia"/>
                      <w:color w:val="000000"/>
                    </w:rPr>
                    <w:t>（</w:t>
                  </w:r>
                  <w:r>
                    <w:rPr>
                      <w:rFonts w:hint="eastAsia"/>
                    </w:rPr>
                    <w:t>35</w:t>
                  </w:r>
                  <w:r>
                    <w:t>m×</w:t>
                  </w:r>
                  <w:r>
                    <w:rPr>
                      <w:rFonts w:hint="eastAsia"/>
                    </w:rPr>
                    <w:t>24</w:t>
                  </w:r>
                  <w:r>
                    <w:t>m</w:t>
                  </w:r>
                  <w:r>
                    <w:rPr>
                      <w:rFonts w:hint="eastAsia"/>
                      <w:color w:val="000000"/>
                    </w:rPr>
                    <w:t>）。全封闭钢结构厂房，地面硬化。主要设备有：螺旋洗矿机、</w:t>
                  </w:r>
                  <w:r>
                    <w:rPr>
                      <w:rFonts w:hint="eastAsia"/>
                      <w:color w:val="000000"/>
                      <w:lang w:eastAsia="zh-CN"/>
                    </w:rPr>
                    <w:t>原矿石粉碎机</w:t>
                  </w:r>
                  <w:r>
                    <w:rPr>
                      <w:rFonts w:hint="eastAsia"/>
                      <w:color w:val="000000"/>
                    </w:rPr>
                    <w:t>、分筛机等。</w:t>
                  </w:r>
                </w:p>
                <w:p>
                  <w:pPr>
                    <w:pStyle w:val="50"/>
                    <w:snapToGrid w:val="0"/>
                    <w:rPr>
                      <w:color w:val="000000"/>
                    </w:rPr>
                  </w:pPr>
                  <w:r>
                    <w:rPr>
                      <w:rFonts w:hint="eastAsia"/>
                      <w:color w:val="000000"/>
                    </w:rPr>
                    <w:t>球磨工序：位于球磨车间内，占地面积960m</w:t>
                  </w:r>
                  <w:r>
                    <w:rPr>
                      <w:rFonts w:hint="eastAsia"/>
                      <w:color w:val="000000"/>
                      <w:vertAlign w:val="superscript"/>
                    </w:rPr>
                    <w:t>2</w:t>
                  </w:r>
                  <w:r>
                    <w:rPr>
                      <w:rFonts w:hint="eastAsia"/>
                      <w:color w:val="000000"/>
                    </w:rPr>
                    <w:t>（</w:t>
                  </w:r>
                  <w:r>
                    <w:rPr>
                      <w:rFonts w:hint="eastAsia"/>
                    </w:rPr>
                    <w:t>40</w:t>
                  </w:r>
                  <w:r>
                    <w:t>m×</w:t>
                  </w:r>
                  <w:r>
                    <w:rPr>
                      <w:rFonts w:hint="eastAsia"/>
                    </w:rPr>
                    <w:t>24</w:t>
                  </w:r>
                  <w:r>
                    <w:t>m</w:t>
                  </w:r>
                  <w:r>
                    <w:rPr>
                      <w:rFonts w:hint="eastAsia"/>
                      <w:color w:val="000000"/>
                    </w:rPr>
                    <w:t>）。全封闭钢结构厂房，地面硬化。主要设备有：球磨机、分筛机、电磁机、</w:t>
                  </w:r>
                  <w:r>
                    <w:rPr>
                      <w:rFonts w:hint="eastAsia"/>
                      <w:color w:val="000000"/>
                      <w:lang w:val="en-US" w:eastAsia="zh-CN"/>
                    </w:rPr>
                    <w:t>带</w:t>
                  </w:r>
                  <w:r>
                    <w:rPr>
                      <w:rFonts w:hint="eastAsia"/>
                      <w:color w:val="000000"/>
                    </w:rPr>
                    <w:t>式脱水机等。</w:t>
                  </w:r>
                </w:p>
                <w:p>
                  <w:pPr>
                    <w:pStyle w:val="50"/>
                    <w:snapToGrid w:val="0"/>
                  </w:pPr>
                  <w:r>
                    <w:rPr>
                      <w:rFonts w:hint="eastAsia"/>
                      <w:color w:val="000000"/>
                    </w:rPr>
                    <w:t>烘干工序：位于烘干车间内，占地面积1440m</w:t>
                  </w:r>
                  <w:r>
                    <w:rPr>
                      <w:rFonts w:hint="eastAsia"/>
                      <w:color w:val="000000"/>
                      <w:vertAlign w:val="superscript"/>
                    </w:rPr>
                    <w:t>2</w:t>
                  </w:r>
                  <w:r>
                    <w:rPr>
                      <w:rFonts w:hint="eastAsia"/>
                      <w:color w:val="000000"/>
                    </w:rPr>
                    <w:t>（1</w:t>
                  </w:r>
                  <w:r>
                    <w:rPr>
                      <w:rFonts w:hint="eastAsia"/>
                    </w:rPr>
                    <w:t>20</w:t>
                  </w:r>
                  <w:r>
                    <w:t>m×</w:t>
                  </w:r>
                  <w:r>
                    <w:rPr>
                      <w:rFonts w:hint="eastAsia"/>
                    </w:rPr>
                    <w:t>12</w:t>
                  </w:r>
                  <w:r>
                    <w:t>m</w:t>
                  </w:r>
                  <w:r>
                    <w:rPr>
                      <w:rFonts w:hint="eastAsia"/>
                      <w:color w:val="000000"/>
                    </w:rPr>
                    <w:t>）。全封闭钢结构厂房，地面硬化。主要设备有：烘干机、选粉机等。</w:t>
                  </w:r>
                </w:p>
              </w:tc>
              <w:tc>
                <w:tcPr>
                  <w:tcW w:w="1078" w:type="dxa"/>
                  <w:vMerge w:val="restart"/>
                  <w:vAlign w:val="center"/>
                </w:tcPr>
                <w:p>
                  <w:pPr>
                    <w:pStyle w:val="50"/>
                    <w:snapToGrid w:val="0"/>
                    <w:rPr>
                      <w:rFonts w:hint="eastAsia" w:eastAsia="宋体"/>
                      <w:color w:val="000000"/>
                      <w:lang w:val="en-US" w:eastAsia="zh-CN"/>
                    </w:rPr>
                  </w:pPr>
                  <w:r>
                    <w:rPr>
                      <w:rFonts w:hint="eastAsia"/>
                      <w:b/>
                      <w:bCs/>
                      <w:color w:val="000000"/>
                      <w:u w:val="single"/>
                      <w:lang w:val="en-US" w:eastAsia="zh-CN"/>
                    </w:rPr>
                    <w:t>依托现有厂区内已建的厂房9240m</w:t>
                  </w:r>
                  <w:r>
                    <w:rPr>
                      <w:rFonts w:hint="eastAsia"/>
                      <w:b/>
                      <w:bCs/>
                      <w:color w:val="000000"/>
                      <w:u w:val="single"/>
                      <w:vertAlign w:val="superscript"/>
                      <w:lang w:val="en-US" w:eastAsia="zh-CN"/>
                    </w:rPr>
                    <w:t>2</w:t>
                  </w:r>
                  <w:r>
                    <w:rPr>
                      <w:rFonts w:hint="eastAsia"/>
                      <w:b/>
                      <w:bCs/>
                      <w:color w:val="000000"/>
                      <w:u w:val="single"/>
                      <w:lang w:val="en-US" w:eastAsia="zh-CN"/>
                    </w:rPr>
                    <w:t>（132m×70m），新建厂房6336m</w:t>
                  </w:r>
                  <w:r>
                    <w:rPr>
                      <w:rFonts w:hint="eastAsia"/>
                      <w:b/>
                      <w:bCs/>
                      <w:color w:val="000000"/>
                      <w:u w:val="single"/>
                      <w:vertAlign w:val="superscript"/>
                      <w:lang w:val="en-US" w:eastAsia="zh-CN"/>
                    </w:rPr>
                    <w:t>2</w:t>
                  </w:r>
                  <w:r>
                    <w:rPr>
                      <w:rFonts w:hint="eastAsia"/>
                      <w:b/>
                      <w:bCs/>
                      <w:color w:val="000000"/>
                      <w:u w:val="single"/>
                      <w:lang w:val="en-US" w:eastAsia="zh-CN"/>
                    </w:rPr>
                    <w:t>（132m×70m）。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restart"/>
                  <w:vAlign w:val="center"/>
                </w:tcPr>
                <w:p>
                  <w:pPr>
                    <w:pStyle w:val="50"/>
                    <w:snapToGrid w:val="0"/>
                    <w:jc w:val="center"/>
                  </w:pPr>
                  <w:r>
                    <w:rPr>
                      <w:rFonts w:hint="eastAsia"/>
                    </w:rPr>
                    <w:t>储运工程</w:t>
                  </w:r>
                </w:p>
              </w:tc>
              <w:tc>
                <w:tcPr>
                  <w:tcW w:w="1069" w:type="dxa"/>
                  <w:tcBorders>
                    <w:top w:val="single" w:color="auto" w:sz="4" w:space="0"/>
                  </w:tcBorders>
                  <w:vAlign w:val="center"/>
                </w:tcPr>
                <w:p>
                  <w:pPr>
                    <w:pStyle w:val="50"/>
                    <w:snapToGrid w:val="0"/>
                    <w:jc w:val="center"/>
                  </w:pPr>
                  <w:r>
                    <w:rPr>
                      <w:rFonts w:hint="eastAsia"/>
                    </w:rPr>
                    <w:t>原料库</w:t>
                  </w:r>
                </w:p>
              </w:tc>
              <w:tc>
                <w:tcPr>
                  <w:tcW w:w="5138" w:type="dxa"/>
                  <w:gridSpan w:val="3"/>
                  <w:vAlign w:val="center"/>
                </w:tcPr>
                <w:p>
                  <w:pPr>
                    <w:pStyle w:val="50"/>
                    <w:snapToGrid w:val="0"/>
                    <w:rPr>
                      <w:color w:val="000000"/>
                    </w:rPr>
                  </w:pPr>
                  <w:r>
                    <w:rPr>
                      <w:rFonts w:hint="eastAsia"/>
                      <w:color w:val="000000"/>
                    </w:rPr>
                    <w:t>占地面积3360m</w:t>
                  </w:r>
                  <w:r>
                    <w:rPr>
                      <w:rFonts w:hint="eastAsia"/>
                      <w:color w:val="000000"/>
                      <w:vertAlign w:val="superscript"/>
                    </w:rPr>
                    <w:t>2</w:t>
                  </w:r>
                  <w:r>
                    <w:rPr>
                      <w:rFonts w:hint="eastAsia"/>
                      <w:color w:val="000000"/>
                    </w:rPr>
                    <w:t>（</w:t>
                  </w:r>
                  <w:r>
                    <w:rPr>
                      <w:rFonts w:hint="eastAsia"/>
                    </w:rPr>
                    <w:t>120</w:t>
                  </w:r>
                  <w:r>
                    <w:t>m×</w:t>
                  </w:r>
                  <w:r>
                    <w:rPr>
                      <w:rFonts w:hint="eastAsia"/>
                    </w:rPr>
                    <w:t>28</w:t>
                  </w:r>
                  <w:r>
                    <w:t>m</w:t>
                  </w:r>
                  <w:r>
                    <w:rPr>
                      <w:rFonts w:hint="eastAsia"/>
                      <w:color w:val="000000"/>
                    </w:rPr>
                    <w:t>）。全封闭钢结构厂房，地面硬化。</w:t>
                  </w:r>
                </w:p>
              </w:tc>
              <w:tc>
                <w:tcPr>
                  <w:tcW w:w="1078" w:type="dxa"/>
                  <w:vMerge w:val="continue"/>
                  <w:vAlign w:val="center"/>
                </w:tcPr>
                <w:p>
                  <w:pPr>
                    <w:pStyle w:val="50"/>
                    <w:snapToGrid w:val="0"/>
                    <w:rPr>
                      <w:rFonts w:hint="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tcBorders>
                    <w:top w:val="single" w:color="auto" w:sz="4" w:space="0"/>
                  </w:tcBorders>
                  <w:vAlign w:val="center"/>
                </w:tcPr>
                <w:p>
                  <w:pPr>
                    <w:pStyle w:val="50"/>
                    <w:snapToGrid w:val="0"/>
                    <w:jc w:val="center"/>
                  </w:pPr>
                  <w:r>
                    <w:rPr>
                      <w:rFonts w:hint="eastAsia"/>
                    </w:rPr>
                    <w:t>破碎料库</w:t>
                  </w:r>
                </w:p>
              </w:tc>
              <w:tc>
                <w:tcPr>
                  <w:tcW w:w="5138" w:type="dxa"/>
                  <w:gridSpan w:val="3"/>
                  <w:vAlign w:val="center"/>
                </w:tcPr>
                <w:p>
                  <w:pPr>
                    <w:pStyle w:val="50"/>
                    <w:snapToGrid w:val="0"/>
                    <w:rPr>
                      <w:color w:val="000000"/>
                    </w:rPr>
                  </w:pPr>
                  <w:r>
                    <w:rPr>
                      <w:rFonts w:hint="eastAsia"/>
                      <w:color w:val="000000"/>
                    </w:rPr>
                    <w:t>占地面积1080m</w:t>
                  </w:r>
                  <w:r>
                    <w:rPr>
                      <w:rFonts w:hint="eastAsia"/>
                      <w:color w:val="000000"/>
                      <w:vertAlign w:val="superscript"/>
                    </w:rPr>
                    <w:t>2</w:t>
                  </w:r>
                  <w:r>
                    <w:rPr>
                      <w:rFonts w:hint="eastAsia"/>
                      <w:color w:val="000000"/>
                    </w:rPr>
                    <w:t>（</w:t>
                  </w:r>
                  <w:r>
                    <w:rPr>
                      <w:rFonts w:hint="eastAsia"/>
                    </w:rPr>
                    <w:t>45</w:t>
                  </w:r>
                  <w:r>
                    <w:t>m×</w:t>
                  </w:r>
                  <w:r>
                    <w:rPr>
                      <w:rFonts w:hint="eastAsia"/>
                    </w:rPr>
                    <w:t>24</w:t>
                  </w:r>
                  <w:r>
                    <w:t>m</w:t>
                  </w:r>
                  <w:r>
                    <w:rPr>
                      <w:rFonts w:hint="eastAsia"/>
                      <w:color w:val="000000"/>
                    </w:rPr>
                    <w:t>）。全封闭钢结构厂房，地面硬化。</w:t>
                  </w:r>
                </w:p>
              </w:tc>
              <w:tc>
                <w:tcPr>
                  <w:tcW w:w="1078" w:type="dxa"/>
                  <w:vMerge w:val="continue"/>
                  <w:vAlign w:val="center"/>
                </w:tcPr>
                <w:p>
                  <w:pPr>
                    <w:pStyle w:val="50"/>
                    <w:snapToGrid w:val="0"/>
                    <w:rPr>
                      <w:rFonts w:hint="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tcBorders>
                    <w:top w:val="single" w:color="auto" w:sz="4" w:space="0"/>
                  </w:tcBorders>
                  <w:vAlign w:val="center"/>
                </w:tcPr>
                <w:p>
                  <w:pPr>
                    <w:pStyle w:val="50"/>
                    <w:snapToGrid w:val="0"/>
                    <w:jc w:val="center"/>
                  </w:pPr>
                  <w:r>
                    <w:rPr>
                      <w:rFonts w:hint="eastAsia"/>
                    </w:rPr>
                    <w:t>半成品库</w:t>
                  </w:r>
                </w:p>
              </w:tc>
              <w:tc>
                <w:tcPr>
                  <w:tcW w:w="5138" w:type="dxa"/>
                  <w:gridSpan w:val="3"/>
                  <w:vAlign w:val="center"/>
                </w:tcPr>
                <w:p>
                  <w:pPr>
                    <w:pStyle w:val="50"/>
                    <w:snapToGrid w:val="0"/>
                    <w:rPr>
                      <w:color w:val="000000"/>
                    </w:rPr>
                  </w:pPr>
                  <w:r>
                    <w:rPr>
                      <w:rFonts w:hint="eastAsia"/>
                      <w:color w:val="000000"/>
                    </w:rPr>
                    <w:t>占地面积876m</w:t>
                  </w:r>
                  <w:r>
                    <w:rPr>
                      <w:rFonts w:hint="eastAsia"/>
                      <w:color w:val="000000"/>
                      <w:vertAlign w:val="superscript"/>
                    </w:rPr>
                    <w:t>2</w:t>
                  </w:r>
                  <w:r>
                    <w:rPr>
                      <w:rFonts w:hint="eastAsia"/>
                      <w:color w:val="000000"/>
                    </w:rPr>
                    <w:t>（</w:t>
                  </w:r>
                  <w:r>
                    <w:rPr>
                      <w:rFonts w:hint="eastAsia"/>
                    </w:rPr>
                    <w:t>73</w:t>
                  </w:r>
                  <w:r>
                    <w:t>m×</w:t>
                  </w:r>
                  <w:r>
                    <w:rPr>
                      <w:rFonts w:hint="eastAsia"/>
                    </w:rPr>
                    <w:t>12</w:t>
                  </w:r>
                  <w:r>
                    <w:t>m</w:t>
                  </w:r>
                  <w:r>
                    <w:rPr>
                      <w:rFonts w:hint="eastAsia"/>
                      <w:color w:val="000000"/>
                    </w:rPr>
                    <w:t>）。全封闭钢结构厂房，地面硬化。</w:t>
                  </w:r>
                </w:p>
              </w:tc>
              <w:tc>
                <w:tcPr>
                  <w:tcW w:w="1078" w:type="dxa"/>
                  <w:vMerge w:val="continue"/>
                  <w:vAlign w:val="center"/>
                </w:tcPr>
                <w:p>
                  <w:pPr>
                    <w:pStyle w:val="50"/>
                    <w:snapToGrid w:val="0"/>
                    <w:rPr>
                      <w:rFonts w:hint="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tcBorders>
                    <w:top w:val="single" w:color="auto" w:sz="4" w:space="0"/>
                  </w:tcBorders>
                  <w:vAlign w:val="center"/>
                </w:tcPr>
                <w:p>
                  <w:pPr>
                    <w:pStyle w:val="50"/>
                    <w:snapToGrid w:val="0"/>
                    <w:jc w:val="center"/>
                  </w:pPr>
                  <w:r>
                    <w:rPr>
                      <w:rFonts w:hint="eastAsia"/>
                    </w:rPr>
                    <w:t>成品库</w:t>
                  </w:r>
                </w:p>
              </w:tc>
              <w:tc>
                <w:tcPr>
                  <w:tcW w:w="5138" w:type="dxa"/>
                  <w:gridSpan w:val="3"/>
                  <w:vAlign w:val="center"/>
                </w:tcPr>
                <w:p>
                  <w:pPr>
                    <w:pStyle w:val="50"/>
                    <w:snapToGrid w:val="0"/>
                    <w:rPr>
                      <w:color w:val="000000"/>
                    </w:rPr>
                  </w:pPr>
                  <w:r>
                    <w:rPr>
                      <w:rFonts w:hint="eastAsia"/>
                      <w:color w:val="000000"/>
                    </w:rPr>
                    <w:t>占地面积3828m</w:t>
                  </w:r>
                  <w:r>
                    <w:rPr>
                      <w:rFonts w:hint="eastAsia"/>
                      <w:color w:val="000000"/>
                      <w:vertAlign w:val="superscript"/>
                    </w:rPr>
                    <w:t>2</w:t>
                  </w:r>
                  <w:r>
                    <w:rPr>
                      <w:rFonts w:hint="eastAsia"/>
                      <w:color w:val="000000"/>
                    </w:rPr>
                    <w:t>（</w:t>
                  </w:r>
                  <w:r>
                    <w:rPr>
                      <w:rFonts w:hint="eastAsia"/>
                    </w:rPr>
                    <w:t>132</w:t>
                  </w:r>
                  <w:r>
                    <w:t>m×</w:t>
                  </w:r>
                  <w:r>
                    <w:rPr>
                      <w:rFonts w:hint="eastAsia"/>
                    </w:rPr>
                    <w:t>29</w:t>
                  </w:r>
                  <w:r>
                    <w:t>m</w:t>
                  </w:r>
                  <w:r>
                    <w:rPr>
                      <w:rFonts w:hint="eastAsia"/>
                      <w:color w:val="000000"/>
                    </w:rPr>
                    <w:t>）。全封闭钢结构厂房，地面硬化。</w:t>
                  </w:r>
                </w:p>
              </w:tc>
              <w:tc>
                <w:tcPr>
                  <w:tcW w:w="1078" w:type="dxa"/>
                  <w:vMerge w:val="continue"/>
                  <w:vAlign w:val="center"/>
                </w:tcPr>
                <w:p>
                  <w:pPr>
                    <w:pStyle w:val="50"/>
                    <w:snapToGrid w:val="0"/>
                    <w:rPr>
                      <w:rFonts w:hint="eastAsia"/>
                      <w:color w:val="00000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restart"/>
                  <w:vAlign w:val="center"/>
                </w:tcPr>
                <w:p>
                  <w:pPr>
                    <w:pStyle w:val="50"/>
                    <w:snapToGrid w:val="0"/>
                    <w:jc w:val="center"/>
                  </w:pPr>
                  <w:r>
                    <w:rPr>
                      <w:rFonts w:hint="eastAsia"/>
                    </w:rPr>
                    <w:t>辅助工程</w:t>
                  </w:r>
                </w:p>
              </w:tc>
              <w:tc>
                <w:tcPr>
                  <w:tcW w:w="1069" w:type="dxa"/>
                  <w:tcBorders>
                    <w:top w:val="single" w:color="auto" w:sz="4" w:space="0"/>
                    <w:bottom w:val="single" w:color="auto" w:sz="4" w:space="0"/>
                  </w:tcBorders>
                  <w:vAlign w:val="center"/>
                </w:tcPr>
                <w:p>
                  <w:pPr>
                    <w:jc w:val="center"/>
                    <w:rPr>
                      <w:szCs w:val="21"/>
                    </w:rPr>
                  </w:pPr>
                  <w:r>
                    <w:rPr>
                      <w:rFonts w:hint="eastAsia"/>
                      <w:color w:val="000000"/>
                      <w:szCs w:val="21"/>
                    </w:rPr>
                    <w:t>办公区</w:t>
                  </w:r>
                </w:p>
              </w:tc>
              <w:tc>
                <w:tcPr>
                  <w:tcW w:w="5138" w:type="dxa"/>
                  <w:gridSpan w:val="3"/>
                  <w:tcBorders>
                    <w:bottom w:val="single" w:color="000000" w:sz="4" w:space="0"/>
                  </w:tcBorders>
                  <w:vAlign w:val="center"/>
                </w:tcPr>
                <w:p>
                  <w:pPr>
                    <w:jc w:val="center"/>
                    <w:rPr>
                      <w:szCs w:val="21"/>
                    </w:rPr>
                  </w:pPr>
                  <w:r>
                    <w:rPr>
                      <w:rFonts w:hint="eastAsia"/>
                      <w:color w:val="000000"/>
                      <w:szCs w:val="21"/>
                    </w:rPr>
                    <w:t>占地面积150</w:t>
                  </w:r>
                  <w:r>
                    <w:rPr>
                      <w:color w:val="000000"/>
                      <w:szCs w:val="21"/>
                    </w:rPr>
                    <w:t>m</w:t>
                  </w:r>
                  <w:r>
                    <w:rPr>
                      <w:color w:val="000000"/>
                      <w:szCs w:val="21"/>
                      <w:vertAlign w:val="superscript"/>
                    </w:rPr>
                    <w:t>2</w:t>
                  </w:r>
                  <w:r>
                    <w:rPr>
                      <w:color w:val="000000"/>
                      <w:szCs w:val="21"/>
                    </w:rPr>
                    <w:t>（</w:t>
                  </w:r>
                  <w:r>
                    <w:rPr>
                      <w:rFonts w:hint="eastAsia"/>
                      <w:color w:val="000000"/>
                      <w:szCs w:val="21"/>
                    </w:rPr>
                    <w:t>20</w:t>
                  </w:r>
                  <w:r>
                    <w:rPr>
                      <w:color w:val="000000"/>
                      <w:szCs w:val="21"/>
                    </w:rPr>
                    <w:t>m×</w:t>
                  </w:r>
                  <w:r>
                    <w:rPr>
                      <w:rFonts w:hint="eastAsia"/>
                      <w:color w:val="000000"/>
                      <w:szCs w:val="21"/>
                    </w:rPr>
                    <w:t>7.5</w:t>
                  </w:r>
                  <w:r>
                    <w:rPr>
                      <w:color w:val="000000"/>
                      <w:szCs w:val="21"/>
                    </w:rPr>
                    <w:t>m）</w:t>
                  </w:r>
                  <w:r>
                    <w:rPr>
                      <w:rFonts w:hint="eastAsia"/>
                      <w:color w:val="000000"/>
                      <w:szCs w:val="21"/>
                    </w:rPr>
                    <w:t>。砖混基础+钢结构顶棚。</w:t>
                  </w:r>
                </w:p>
              </w:tc>
              <w:tc>
                <w:tcPr>
                  <w:tcW w:w="1078" w:type="dxa"/>
                  <w:tcBorders>
                    <w:bottom w:val="single" w:color="000000" w:sz="4" w:space="0"/>
                  </w:tcBorders>
                  <w:vAlign w:val="center"/>
                </w:tcPr>
                <w:p>
                  <w:pPr>
                    <w:jc w:val="center"/>
                    <w:rPr>
                      <w:rFonts w:hint="eastAsia" w:eastAsia="宋体"/>
                      <w:color w:val="000000"/>
                      <w:szCs w:val="21"/>
                      <w:lang w:val="en-US" w:eastAsia="zh-CN"/>
                    </w:rPr>
                  </w:pPr>
                  <w:r>
                    <w:rPr>
                      <w:rFonts w:hint="eastAsia"/>
                      <w:b/>
                      <w:bCs/>
                      <w:color w:val="000000"/>
                      <w:szCs w:val="21"/>
                      <w:u w:val="single"/>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tcBorders>
                    <w:top w:val="single" w:color="auto" w:sz="4" w:space="0"/>
                    <w:bottom w:val="single" w:color="auto" w:sz="4" w:space="0"/>
                  </w:tcBorders>
                  <w:vAlign w:val="center"/>
                </w:tcPr>
                <w:p>
                  <w:pPr>
                    <w:jc w:val="center"/>
                    <w:rPr>
                      <w:color w:val="000000"/>
                      <w:szCs w:val="21"/>
                    </w:rPr>
                  </w:pPr>
                  <w:r>
                    <w:rPr>
                      <w:rFonts w:hint="eastAsia"/>
                      <w:color w:val="000000"/>
                      <w:szCs w:val="21"/>
                    </w:rPr>
                    <w:t>传达室</w:t>
                  </w:r>
                </w:p>
              </w:tc>
              <w:tc>
                <w:tcPr>
                  <w:tcW w:w="5138" w:type="dxa"/>
                  <w:gridSpan w:val="3"/>
                  <w:tcBorders>
                    <w:bottom w:val="single" w:color="000000" w:sz="4" w:space="0"/>
                  </w:tcBorders>
                  <w:vAlign w:val="center"/>
                </w:tcPr>
                <w:p>
                  <w:pPr>
                    <w:jc w:val="both"/>
                    <w:rPr>
                      <w:color w:val="000000"/>
                      <w:szCs w:val="21"/>
                    </w:rPr>
                  </w:pPr>
                  <w:r>
                    <w:rPr>
                      <w:rFonts w:hint="eastAsia"/>
                      <w:color w:val="000000"/>
                      <w:szCs w:val="21"/>
                    </w:rPr>
                    <w:t>占地面积</w:t>
                  </w:r>
                  <w:r>
                    <w:rPr>
                      <w:color w:val="000000"/>
                      <w:szCs w:val="21"/>
                    </w:rPr>
                    <w:t>约为</w:t>
                  </w:r>
                  <w:r>
                    <w:rPr>
                      <w:rFonts w:hint="eastAsia"/>
                      <w:color w:val="000000"/>
                      <w:szCs w:val="21"/>
                    </w:rPr>
                    <w:t>66</w:t>
                  </w:r>
                  <w:r>
                    <w:rPr>
                      <w:color w:val="000000"/>
                      <w:szCs w:val="21"/>
                    </w:rPr>
                    <w:t>m</w:t>
                  </w:r>
                  <w:r>
                    <w:rPr>
                      <w:color w:val="000000"/>
                      <w:szCs w:val="21"/>
                      <w:vertAlign w:val="superscript"/>
                    </w:rPr>
                    <w:t>2</w:t>
                  </w:r>
                  <w:r>
                    <w:rPr>
                      <w:color w:val="000000"/>
                      <w:szCs w:val="21"/>
                    </w:rPr>
                    <w:t>（</w:t>
                  </w:r>
                  <w:r>
                    <w:rPr>
                      <w:rFonts w:hint="eastAsia"/>
                      <w:color w:val="000000"/>
                      <w:szCs w:val="21"/>
                    </w:rPr>
                    <w:t>11</w:t>
                  </w:r>
                  <w:r>
                    <w:rPr>
                      <w:color w:val="000000"/>
                      <w:szCs w:val="21"/>
                    </w:rPr>
                    <w:t>m×</w:t>
                  </w:r>
                  <w:r>
                    <w:rPr>
                      <w:rFonts w:hint="eastAsia"/>
                      <w:color w:val="000000"/>
                      <w:szCs w:val="21"/>
                    </w:rPr>
                    <w:t>6</w:t>
                  </w:r>
                  <w:r>
                    <w:rPr>
                      <w:color w:val="000000"/>
                      <w:szCs w:val="21"/>
                    </w:rPr>
                    <w:t>m）</w:t>
                  </w:r>
                  <w:r>
                    <w:rPr>
                      <w:rFonts w:hint="eastAsia"/>
                      <w:color w:val="000000"/>
                      <w:szCs w:val="21"/>
                    </w:rPr>
                    <w:t>。砖混结构+钢结构顶棚。</w:t>
                  </w:r>
                </w:p>
              </w:tc>
              <w:tc>
                <w:tcPr>
                  <w:tcW w:w="1078" w:type="dxa"/>
                  <w:tcBorders>
                    <w:bottom w:val="single" w:color="000000" w:sz="4" w:space="0"/>
                  </w:tcBorders>
                  <w:vAlign w:val="center"/>
                </w:tcPr>
                <w:p>
                  <w:pPr>
                    <w:jc w:val="center"/>
                    <w:rPr>
                      <w:rFonts w:hint="eastAsia" w:eastAsia="宋体"/>
                      <w:color w:val="000000"/>
                      <w:szCs w:val="21"/>
                      <w:lang w:val="en-US" w:eastAsia="zh-CN"/>
                    </w:rPr>
                  </w:pPr>
                  <w:r>
                    <w:rPr>
                      <w:rFonts w:hint="eastAsia"/>
                      <w:b/>
                      <w:bCs/>
                      <w:color w:val="000000"/>
                      <w:szCs w:val="21"/>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tcBorders>
                    <w:top w:val="single" w:color="auto" w:sz="4" w:space="0"/>
                    <w:bottom w:val="single" w:color="auto" w:sz="4" w:space="0"/>
                  </w:tcBorders>
                  <w:vAlign w:val="center"/>
                </w:tcPr>
                <w:p>
                  <w:pPr>
                    <w:jc w:val="center"/>
                    <w:rPr>
                      <w:rFonts w:hint="eastAsia" w:eastAsia="宋体"/>
                      <w:color w:val="000000"/>
                      <w:szCs w:val="21"/>
                      <w:lang w:val="en-US" w:eastAsia="zh-CN"/>
                    </w:rPr>
                  </w:pPr>
                  <w:r>
                    <w:rPr>
                      <w:rFonts w:hint="eastAsia"/>
                      <w:color w:val="000000"/>
                      <w:szCs w:val="21"/>
                      <w:lang w:val="en-US" w:eastAsia="zh-CN"/>
                    </w:rPr>
                    <w:t>机修房</w:t>
                  </w:r>
                </w:p>
              </w:tc>
              <w:tc>
                <w:tcPr>
                  <w:tcW w:w="5138" w:type="dxa"/>
                  <w:gridSpan w:val="3"/>
                  <w:tcBorders>
                    <w:bottom w:val="single" w:color="000000" w:sz="4" w:space="0"/>
                  </w:tcBorders>
                  <w:vAlign w:val="center"/>
                </w:tcPr>
                <w:p>
                  <w:pPr>
                    <w:jc w:val="both"/>
                    <w:rPr>
                      <w:rFonts w:hint="eastAsia"/>
                      <w:color w:val="000000"/>
                      <w:szCs w:val="21"/>
                    </w:rPr>
                  </w:pPr>
                  <w:r>
                    <w:rPr>
                      <w:rFonts w:hint="eastAsia"/>
                      <w:color w:val="000000"/>
                      <w:szCs w:val="21"/>
                    </w:rPr>
                    <w:t>占地面积</w:t>
                  </w:r>
                  <w:r>
                    <w:rPr>
                      <w:color w:val="000000"/>
                      <w:szCs w:val="21"/>
                    </w:rPr>
                    <w:t>约为</w:t>
                  </w:r>
                  <w:r>
                    <w:rPr>
                      <w:rFonts w:hint="eastAsia"/>
                      <w:color w:val="000000"/>
                      <w:szCs w:val="21"/>
                      <w:lang w:val="en-US" w:eastAsia="zh-CN"/>
                    </w:rPr>
                    <w:t>940</w:t>
                  </w:r>
                  <w:r>
                    <w:rPr>
                      <w:color w:val="000000"/>
                      <w:szCs w:val="21"/>
                    </w:rPr>
                    <w:t>m</w:t>
                  </w:r>
                  <w:r>
                    <w:rPr>
                      <w:color w:val="000000"/>
                      <w:szCs w:val="21"/>
                      <w:vertAlign w:val="superscript"/>
                    </w:rPr>
                    <w:t>2</w:t>
                  </w:r>
                  <w:r>
                    <w:rPr>
                      <w:color w:val="000000"/>
                      <w:szCs w:val="21"/>
                    </w:rPr>
                    <w:t>（</w:t>
                  </w:r>
                  <w:r>
                    <w:rPr>
                      <w:rFonts w:hint="eastAsia"/>
                      <w:color w:val="000000"/>
                      <w:szCs w:val="21"/>
                      <w:lang w:val="en-US" w:eastAsia="zh-CN"/>
                    </w:rPr>
                    <w:t>47</w:t>
                  </w:r>
                  <w:r>
                    <w:rPr>
                      <w:color w:val="000000"/>
                      <w:szCs w:val="21"/>
                    </w:rPr>
                    <w:t>m×</w:t>
                  </w:r>
                  <w:r>
                    <w:rPr>
                      <w:rFonts w:hint="eastAsia"/>
                      <w:color w:val="000000"/>
                      <w:szCs w:val="21"/>
                      <w:lang w:val="en-US" w:eastAsia="zh-CN"/>
                    </w:rPr>
                    <w:t>20</w:t>
                  </w:r>
                  <w:r>
                    <w:rPr>
                      <w:color w:val="000000"/>
                      <w:szCs w:val="21"/>
                    </w:rPr>
                    <w:t>m）</w:t>
                  </w:r>
                  <w:r>
                    <w:rPr>
                      <w:rFonts w:hint="eastAsia"/>
                      <w:color w:val="000000"/>
                      <w:szCs w:val="21"/>
                    </w:rPr>
                    <w:t>。砖混结构+钢结构顶棚。</w:t>
                  </w:r>
                </w:p>
              </w:tc>
              <w:tc>
                <w:tcPr>
                  <w:tcW w:w="1078" w:type="dxa"/>
                  <w:tcBorders>
                    <w:bottom w:val="single" w:color="000000" w:sz="4" w:space="0"/>
                  </w:tcBorders>
                  <w:vAlign w:val="center"/>
                </w:tcPr>
                <w:p>
                  <w:pPr>
                    <w:jc w:val="center"/>
                    <w:rPr>
                      <w:rFonts w:hint="eastAsia"/>
                      <w:b/>
                      <w:bCs/>
                      <w:color w:val="000000"/>
                      <w:szCs w:val="21"/>
                      <w:u w:val="single"/>
                      <w:lang w:val="en-US" w:eastAsia="zh-CN"/>
                    </w:rPr>
                  </w:pPr>
                  <w:r>
                    <w:rPr>
                      <w:rFonts w:hint="eastAsia"/>
                      <w:b/>
                      <w:bCs/>
                      <w:color w:val="000000"/>
                      <w:szCs w:val="21"/>
                      <w:u w:val="single"/>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tcBorders>
                    <w:top w:val="single" w:color="auto" w:sz="4" w:space="0"/>
                    <w:bottom w:val="single" w:color="auto" w:sz="4" w:space="0"/>
                  </w:tcBorders>
                  <w:vAlign w:val="center"/>
                </w:tcPr>
                <w:p>
                  <w:pPr>
                    <w:jc w:val="center"/>
                    <w:rPr>
                      <w:rFonts w:hint="eastAsia"/>
                      <w:color w:val="000000"/>
                      <w:szCs w:val="21"/>
                      <w:lang w:val="en-US" w:eastAsia="zh-CN"/>
                    </w:rPr>
                  </w:pPr>
                  <w:r>
                    <w:rPr>
                      <w:rFonts w:hint="eastAsia"/>
                      <w:color w:val="000000"/>
                      <w:szCs w:val="21"/>
                      <w:lang w:val="en-US" w:eastAsia="zh-CN"/>
                    </w:rPr>
                    <w:t>仓库</w:t>
                  </w:r>
                </w:p>
              </w:tc>
              <w:tc>
                <w:tcPr>
                  <w:tcW w:w="5138" w:type="dxa"/>
                  <w:gridSpan w:val="3"/>
                  <w:tcBorders>
                    <w:bottom w:val="single" w:color="000000" w:sz="4" w:space="0"/>
                  </w:tcBorders>
                  <w:vAlign w:val="center"/>
                </w:tcPr>
                <w:p>
                  <w:pPr>
                    <w:jc w:val="both"/>
                    <w:rPr>
                      <w:rFonts w:hint="eastAsia"/>
                      <w:color w:val="000000"/>
                      <w:szCs w:val="21"/>
                    </w:rPr>
                  </w:pPr>
                  <w:r>
                    <w:rPr>
                      <w:rFonts w:hint="eastAsia"/>
                      <w:color w:val="000000"/>
                      <w:szCs w:val="21"/>
                    </w:rPr>
                    <w:t>占地面积</w:t>
                  </w:r>
                  <w:r>
                    <w:rPr>
                      <w:color w:val="000000"/>
                      <w:szCs w:val="21"/>
                    </w:rPr>
                    <w:t>约为</w:t>
                  </w:r>
                  <w:r>
                    <w:rPr>
                      <w:rFonts w:hint="eastAsia"/>
                      <w:color w:val="000000"/>
                      <w:szCs w:val="21"/>
                      <w:lang w:val="en-US" w:eastAsia="zh-CN"/>
                    </w:rPr>
                    <w:t>1215</w:t>
                  </w:r>
                  <w:r>
                    <w:rPr>
                      <w:color w:val="000000"/>
                      <w:szCs w:val="21"/>
                    </w:rPr>
                    <w:t>m</w:t>
                  </w:r>
                  <w:r>
                    <w:rPr>
                      <w:color w:val="000000"/>
                      <w:szCs w:val="21"/>
                      <w:vertAlign w:val="superscript"/>
                    </w:rPr>
                    <w:t>2</w:t>
                  </w:r>
                  <w:r>
                    <w:rPr>
                      <w:color w:val="000000"/>
                      <w:szCs w:val="21"/>
                    </w:rPr>
                    <w:t>（</w:t>
                  </w:r>
                  <w:r>
                    <w:rPr>
                      <w:rFonts w:hint="eastAsia"/>
                      <w:color w:val="000000"/>
                      <w:szCs w:val="21"/>
                      <w:lang w:val="en-US" w:eastAsia="zh-CN"/>
                    </w:rPr>
                    <w:t>45</w:t>
                  </w:r>
                  <w:r>
                    <w:rPr>
                      <w:color w:val="000000"/>
                      <w:szCs w:val="21"/>
                    </w:rPr>
                    <w:t>m×</w:t>
                  </w:r>
                  <w:r>
                    <w:rPr>
                      <w:rFonts w:hint="eastAsia"/>
                      <w:color w:val="000000"/>
                      <w:szCs w:val="21"/>
                      <w:lang w:val="en-US" w:eastAsia="zh-CN"/>
                    </w:rPr>
                    <w:t>27</w:t>
                  </w:r>
                  <w:r>
                    <w:rPr>
                      <w:color w:val="000000"/>
                      <w:szCs w:val="21"/>
                    </w:rPr>
                    <w:t>m）</w:t>
                  </w:r>
                  <w:r>
                    <w:rPr>
                      <w:rFonts w:hint="eastAsia"/>
                      <w:color w:val="000000"/>
                      <w:szCs w:val="21"/>
                    </w:rPr>
                    <w:t>。</w:t>
                  </w:r>
                  <w:r>
                    <w:rPr>
                      <w:rFonts w:hint="eastAsia"/>
                      <w:color w:val="000000"/>
                    </w:rPr>
                    <w:t>全封闭钢结构厂房，地面硬化。</w:t>
                  </w:r>
                </w:p>
              </w:tc>
              <w:tc>
                <w:tcPr>
                  <w:tcW w:w="1078" w:type="dxa"/>
                  <w:tcBorders>
                    <w:bottom w:val="single" w:color="000000" w:sz="4" w:space="0"/>
                  </w:tcBorders>
                  <w:vAlign w:val="center"/>
                </w:tcPr>
                <w:p>
                  <w:pPr>
                    <w:jc w:val="center"/>
                    <w:rPr>
                      <w:rFonts w:hint="eastAsia"/>
                      <w:b/>
                      <w:bCs/>
                      <w:color w:val="000000"/>
                      <w:szCs w:val="21"/>
                      <w:u w:val="single"/>
                      <w:lang w:val="en-US" w:eastAsia="zh-CN"/>
                    </w:rPr>
                  </w:pPr>
                  <w:r>
                    <w:rPr>
                      <w:rFonts w:hint="eastAsia"/>
                      <w:b/>
                      <w:bCs/>
                      <w:color w:val="000000"/>
                      <w:szCs w:val="21"/>
                      <w:u w:val="single"/>
                      <w:lang w:val="en-US" w:eastAsia="zh-CN"/>
                    </w:rPr>
                    <w:t>依托现有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restart"/>
                  <w:vAlign w:val="center"/>
                </w:tcPr>
                <w:p>
                  <w:pPr>
                    <w:pStyle w:val="50"/>
                    <w:snapToGrid w:val="0"/>
                    <w:jc w:val="center"/>
                  </w:pPr>
                  <w:r>
                    <w:rPr>
                      <w:rFonts w:hint="eastAsia"/>
                    </w:rPr>
                    <w:t>公用工程</w:t>
                  </w:r>
                </w:p>
              </w:tc>
              <w:tc>
                <w:tcPr>
                  <w:tcW w:w="1069" w:type="dxa"/>
                  <w:vAlign w:val="center"/>
                </w:tcPr>
                <w:p>
                  <w:pPr>
                    <w:pStyle w:val="50"/>
                    <w:snapToGrid w:val="0"/>
                    <w:jc w:val="center"/>
                    <w:rPr>
                      <w:highlight w:val="yellow"/>
                    </w:rPr>
                  </w:pPr>
                  <w:r>
                    <w:rPr>
                      <w:rFonts w:hint="eastAsia"/>
                    </w:rPr>
                    <w:t>供水工程</w:t>
                  </w:r>
                </w:p>
              </w:tc>
              <w:tc>
                <w:tcPr>
                  <w:tcW w:w="5138" w:type="dxa"/>
                  <w:gridSpan w:val="3"/>
                  <w:vAlign w:val="center"/>
                </w:tcPr>
                <w:p>
                  <w:pPr>
                    <w:pStyle w:val="50"/>
                    <w:snapToGrid w:val="0"/>
                    <w:jc w:val="center"/>
                    <w:rPr>
                      <w:rFonts w:hint="eastAsia" w:eastAsia="宋体"/>
                      <w:highlight w:val="yellow"/>
                      <w:lang w:eastAsia="zh-CN"/>
                    </w:rPr>
                  </w:pPr>
                  <w:r>
                    <w:rPr>
                      <w:rFonts w:hint="eastAsia"/>
                    </w:rPr>
                    <w:t>生活用水由鹁鸽吴村集中供水提供，生产用水由厂区内自备水井提供</w:t>
                  </w:r>
                  <w:r>
                    <w:rPr>
                      <w:rFonts w:hint="eastAsia"/>
                      <w:lang w:eastAsia="zh-CN"/>
                    </w:rPr>
                    <w:t>。</w:t>
                  </w:r>
                </w:p>
              </w:tc>
              <w:tc>
                <w:tcPr>
                  <w:tcW w:w="1078" w:type="dxa"/>
                  <w:vAlign w:val="center"/>
                </w:tcPr>
                <w:p>
                  <w:pPr>
                    <w:pStyle w:val="50"/>
                    <w:snapToGrid w:val="0"/>
                    <w:jc w:val="center"/>
                    <w:rPr>
                      <w:rFonts w:hint="eastAsia" w:eastAsia="宋体"/>
                      <w:lang w:val="en-US" w:eastAsia="zh-CN"/>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Align w:val="center"/>
                </w:tcPr>
                <w:p>
                  <w:pPr>
                    <w:pStyle w:val="50"/>
                    <w:snapToGrid w:val="0"/>
                    <w:jc w:val="center"/>
                  </w:pPr>
                  <w:r>
                    <w:rPr>
                      <w:rFonts w:hint="eastAsia"/>
                    </w:rPr>
                    <w:t>供电工程</w:t>
                  </w:r>
                </w:p>
              </w:tc>
              <w:tc>
                <w:tcPr>
                  <w:tcW w:w="5138" w:type="dxa"/>
                  <w:gridSpan w:val="3"/>
                  <w:vAlign w:val="center"/>
                </w:tcPr>
                <w:p>
                  <w:pPr>
                    <w:pStyle w:val="50"/>
                    <w:snapToGrid w:val="0"/>
                    <w:jc w:val="center"/>
                  </w:pPr>
                  <w:r>
                    <w:rPr>
                      <w:rFonts w:hint="eastAsia"/>
                    </w:rPr>
                    <w:t>鲁山县产业集聚区市政供电。厂区内设置1座配电房，占地面积240m</w:t>
                  </w:r>
                  <w:r>
                    <w:rPr>
                      <w:rFonts w:hint="eastAsia"/>
                      <w:vertAlign w:val="superscript"/>
                    </w:rPr>
                    <w:t>2</w:t>
                  </w:r>
                  <w:r>
                    <w:rPr>
                      <w:rFonts w:hint="eastAsia"/>
                    </w:rPr>
                    <w:t>（30m</w:t>
                  </w:r>
                  <w:r>
                    <w:rPr>
                      <w:color w:val="000000"/>
                    </w:rPr>
                    <w:t>×</w:t>
                  </w:r>
                  <w:r>
                    <w:rPr>
                      <w:rFonts w:hint="eastAsia"/>
                      <w:color w:val="000000"/>
                    </w:rPr>
                    <w:t>8m</w:t>
                  </w:r>
                  <w:r>
                    <w:rPr>
                      <w:rFonts w:hint="eastAsia"/>
                    </w:rPr>
                    <w:t>）。</w:t>
                  </w:r>
                </w:p>
              </w:tc>
              <w:tc>
                <w:tcPr>
                  <w:tcW w:w="1078" w:type="dxa"/>
                  <w:vAlign w:val="center"/>
                </w:tcPr>
                <w:p>
                  <w:pPr>
                    <w:pStyle w:val="50"/>
                    <w:snapToGrid w:val="0"/>
                    <w:jc w:val="center"/>
                    <w:rPr>
                      <w:rFonts w:hint="eastAsia"/>
                      <w:b/>
                      <w:bCs/>
                      <w:u w:val="single"/>
                      <w:lang w:val="en-US" w:eastAsia="zh-CN"/>
                    </w:rPr>
                  </w:pPr>
                  <w:r>
                    <w:rPr>
                      <w:rFonts w:hint="eastAsia"/>
                      <w:b/>
                      <w:bCs/>
                      <w:u w:val="single"/>
                      <w:lang w:val="en-US" w:eastAsia="zh-CN"/>
                    </w:rPr>
                    <w:t>新建</w:t>
                  </w:r>
                </w:p>
                <w:p>
                  <w:pPr>
                    <w:pStyle w:val="50"/>
                    <w:snapToGrid w:val="0"/>
                    <w:jc w:val="center"/>
                    <w:rPr>
                      <w:rFonts w:hint="eastAsia" w:eastAsia="宋体"/>
                      <w:lang w:val="en-US" w:eastAsia="zh-CN"/>
                    </w:rPr>
                  </w:pPr>
                  <w:r>
                    <w:rPr>
                      <w:rFonts w:hint="eastAsia"/>
                      <w:b/>
                      <w:bCs/>
                      <w:u w:val="single"/>
                      <w:lang w:val="en-US" w:eastAsia="zh-CN"/>
                    </w:rPr>
                    <w:t>配电房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Align w:val="center"/>
                </w:tcPr>
                <w:p>
                  <w:pPr>
                    <w:pStyle w:val="50"/>
                    <w:snapToGrid w:val="0"/>
                    <w:jc w:val="center"/>
                  </w:pPr>
                  <w:r>
                    <w:rPr>
                      <w:rFonts w:hint="eastAsia"/>
                    </w:rPr>
                    <w:t>供热</w:t>
                  </w:r>
                </w:p>
              </w:tc>
              <w:tc>
                <w:tcPr>
                  <w:tcW w:w="5138" w:type="dxa"/>
                  <w:gridSpan w:val="3"/>
                  <w:vAlign w:val="center"/>
                </w:tcPr>
                <w:p>
                  <w:pPr>
                    <w:pStyle w:val="50"/>
                    <w:snapToGrid w:val="0"/>
                    <w:jc w:val="center"/>
                  </w:pPr>
                  <w:r>
                    <w:rPr>
                      <w:rFonts w:hint="eastAsia"/>
                    </w:rPr>
                    <w:t>烘干机以天然气为燃料，</w:t>
                  </w:r>
                  <w:r>
                    <w:rPr>
                      <w:rFonts w:hint="eastAsia"/>
                      <w:lang w:val="en-US" w:eastAsia="zh-CN"/>
                    </w:rPr>
                    <w:t>采用“西气东输”管道燃气</w:t>
                  </w:r>
                  <w:r>
                    <w:rPr>
                      <w:rFonts w:hint="eastAsia"/>
                    </w:rPr>
                    <w:t>。</w:t>
                  </w:r>
                </w:p>
              </w:tc>
              <w:tc>
                <w:tcPr>
                  <w:tcW w:w="1078" w:type="dxa"/>
                  <w:vAlign w:val="center"/>
                </w:tcPr>
                <w:p>
                  <w:pPr>
                    <w:pStyle w:val="50"/>
                    <w:snapToGrid w:val="0"/>
                    <w:jc w:val="center"/>
                    <w:rPr>
                      <w:rFonts w:hint="eastAsia" w:eastAsia="宋体"/>
                      <w:lang w:val="en-US" w:eastAsia="zh-CN"/>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Align w:val="center"/>
                </w:tcPr>
                <w:p>
                  <w:pPr>
                    <w:pStyle w:val="50"/>
                    <w:snapToGrid w:val="0"/>
                    <w:jc w:val="center"/>
                    <w:rPr>
                      <w:rFonts w:hint="eastAsia" w:eastAsia="宋体"/>
                      <w:b/>
                      <w:bCs/>
                      <w:u w:val="single"/>
                      <w:lang w:val="en-US" w:eastAsia="zh-CN"/>
                    </w:rPr>
                  </w:pPr>
                  <w:r>
                    <w:rPr>
                      <w:rFonts w:hint="eastAsia"/>
                      <w:b/>
                      <w:bCs/>
                      <w:u w:val="single"/>
                      <w:lang w:val="en-US" w:eastAsia="zh-CN"/>
                    </w:rPr>
                    <w:t>供气</w:t>
                  </w:r>
                </w:p>
              </w:tc>
              <w:tc>
                <w:tcPr>
                  <w:tcW w:w="5138" w:type="dxa"/>
                  <w:gridSpan w:val="3"/>
                  <w:vAlign w:val="center"/>
                </w:tcPr>
                <w:p>
                  <w:pPr>
                    <w:pStyle w:val="50"/>
                    <w:snapToGrid w:val="0"/>
                    <w:jc w:val="center"/>
                    <w:rPr>
                      <w:rFonts w:hint="eastAsia" w:eastAsia="宋体"/>
                      <w:b/>
                      <w:bCs/>
                      <w:u w:val="single"/>
                      <w:lang w:val="en-US" w:eastAsia="zh-CN"/>
                    </w:rPr>
                  </w:pPr>
                  <w:r>
                    <w:rPr>
                      <w:rFonts w:hint="eastAsia"/>
                      <w:b/>
                      <w:bCs/>
                      <w:u w:val="single"/>
                      <w:lang w:val="en-US" w:eastAsia="zh-CN"/>
                    </w:rPr>
                    <w:t>采用液化气储罐，作为员工食堂做饭燃料使用。</w:t>
                  </w:r>
                </w:p>
              </w:tc>
              <w:tc>
                <w:tcPr>
                  <w:tcW w:w="1078" w:type="dxa"/>
                  <w:vAlign w:val="center"/>
                </w:tcPr>
                <w:p>
                  <w:pPr>
                    <w:pStyle w:val="50"/>
                    <w:snapToGrid w:val="0"/>
                    <w:jc w:val="center"/>
                    <w:rPr>
                      <w:rFonts w:hint="eastAsia"/>
                      <w:b/>
                      <w:bCs/>
                      <w:u w:val="single"/>
                      <w:lang w:val="en-US" w:eastAsia="zh-CN"/>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restart"/>
                  <w:vAlign w:val="center"/>
                </w:tcPr>
                <w:p>
                  <w:pPr>
                    <w:pStyle w:val="50"/>
                    <w:snapToGrid w:val="0"/>
                    <w:jc w:val="center"/>
                    <w:rPr>
                      <w:color w:val="FF0000"/>
                    </w:rPr>
                  </w:pPr>
                  <w:r>
                    <w:rPr>
                      <w:rFonts w:hint="eastAsia"/>
                    </w:rPr>
                    <w:t>环保工程</w:t>
                  </w:r>
                </w:p>
              </w:tc>
              <w:tc>
                <w:tcPr>
                  <w:tcW w:w="1069" w:type="dxa"/>
                  <w:vMerge w:val="restart"/>
                  <w:vAlign w:val="center"/>
                </w:tcPr>
                <w:p>
                  <w:pPr>
                    <w:pStyle w:val="50"/>
                    <w:snapToGrid w:val="0"/>
                    <w:jc w:val="center"/>
                  </w:pPr>
                  <w:r>
                    <w:rPr>
                      <w:rFonts w:hint="eastAsia"/>
                    </w:rPr>
                    <w:t>废气</w:t>
                  </w:r>
                </w:p>
              </w:tc>
              <w:tc>
                <w:tcPr>
                  <w:tcW w:w="1950" w:type="dxa"/>
                  <w:vAlign w:val="center"/>
                </w:tcPr>
                <w:p>
                  <w:pPr>
                    <w:snapToGrid w:val="0"/>
                    <w:jc w:val="center"/>
                    <w:rPr>
                      <w:bCs/>
                      <w:color w:val="auto"/>
                      <w:szCs w:val="21"/>
                    </w:rPr>
                  </w:pPr>
                  <w:r>
                    <w:rPr>
                      <w:rFonts w:hint="eastAsia"/>
                      <w:color w:val="auto"/>
                      <w:szCs w:val="21"/>
                    </w:rPr>
                    <w:t>原料上料工序粉尘</w:t>
                  </w:r>
                </w:p>
              </w:tc>
              <w:tc>
                <w:tcPr>
                  <w:tcW w:w="1987" w:type="dxa"/>
                  <w:vAlign w:val="center"/>
                </w:tcPr>
                <w:p>
                  <w:pPr>
                    <w:snapToGrid w:val="0"/>
                    <w:jc w:val="center"/>
                    <w:rPr>
                      <w:rFonts w:hint="eastAsia"/>
                      <w:color w:val="auto"/>
                      <w:szCs w:val="21"/>
                    </w:rPr>
                  </w:pPr>
                  <w:r>
                    <w:rPr>
                      <w:rFonts w:hint="eastAsia"/>
                      <w:color w:val="auto"/>
                      <w:szCs w:val="21"/>
                    </w:rPr>
                    <w:t>集气罩</w:t>
                  </w:r>
                  <w:r>
                    <w:rPr>
                      <w:color w:val="auto"/>
                      <w:szCs w:val="21"/>
                    </w:rPr>
                    <w:t>+</w:t>
                  </w:r>
                  <w:r>
                    <w:rPr>
                      <w:rFonts w:hint="eastAsia"/>
                      <w:color w:val="auto"/>
                      <w:szCs w:val="21"/>
                    </w:rPr>
                    <w:t>袋式除尘器（1#）</w:t>
                  </w:r>
                </w:p>
              </w:tc>
              <w:tc>
                <w:tcPr>
                  <w:tcW w:w="1201" w:type="dxa"/>
                  <w:vMerge w:val="restart"/>
                  <w:vAlign w:val="center"/>
                </w:tcPr>
                <w:p>
                  <w:pPr>
                    <w:snapToGrid w:val="0"/>
                    <w:jc w:val="center"/>
                    <w:rPr>
                      <w:bCs/>
                      <w:color w:val="FF0000"/>
                      <w:szCs w:val="21"/>
                    </w:rPr>
                  </w:pPr>
                  <w:r>
                    <w:rPr>
                      <w:rFonts w:hint="eastAsia"/>
                      <w:color w:val="auto"/>
                      <w:szCs w:val="21"/>
                    </w:rPr>
                    <w:t>15</w:t>
                  </w:r>
                  <w:r>
                    <w:rPr>
                      <w:color w:val="auto"/>
                      <w:szCs w:val="21"/>
                    </w:rPr>
                    <w:t>m</w:t>
                  </w:r>
                  <w:r>
                    <w:rPr>
                      <w:rFonts w:hint="eastAsia"/>
                      <w:color w:val="auto"/>
                      <w:szCs w:val="21"/>
                    </w:rPr>
                    <w:t>高排气筒（DA001）</w:t>
                  </w:r>
                </w:p>
              </w:tc>
              <w:tc>
                <w:tcPr>
                  <w:tcW w:w="1078" w:type="dxa"/>
                  <w:vMerge w:val="restart"/>
                  <w:vAlign w:val="center"/>
                </w:tcPr>
                <w:p>
                  <w:pPr>
                    <w:snapToGrid w:val="0"/>
                    <w:jc w:val="center"/>
                    <w:rPr>
                      <w:bCs/>
                      <w:szCs w:val="21"/>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snapToGrid w:val="0"/>
                    <w:jc w:val="center"/>
                    <w:rPr>
                      <w:bCs/>
                      <w:color w:val="auto"/>
                      <w:szCs w:val="21"/>
                    </w:rPr>
                  </w:pPr>
                  <w:r>
                    <w:rPr>
                      <w:rFonts w:hint="eastAsia"/>
                      <w:color w:val="auto"/>
                      <w:szCs w:val="21"/>
                    </w:rPr>
                    <w:t>破碎工序粉尘</w:t>
                  </w:r>
                </w:p>
              </w:tc>
              <w:tc>
                <w:tcPr>
                  <w:tcW w:w="1987" w:type="dxa"/>
                  <w:vAlign w:val="center"/>
                </w:tcPr>
                <w:p>
                  <w:pPr>
                    <w:contextualSpacing/>
                    <w:jc w:val="center"/>
                    <w:rPr>
                      <w:rFonts w:hint="eastAsia"/>
                      <w:color w:val="auto"/>
                      <w:szCs w:val="21"/>
                    </w:rPr>
                  </w:pPr>
                  <w:r>
                    <w:rPr>
                      <w:rFonts w:hint="eastAsia"/>
                      <w:color w:val="auto"/>
                      <w:szCs w:val="21"/>
                    </w:rPr>
                    <w:t>集气罩</w:t>
                  </w:r>
                  <w:r>
                    <w:rPr>
                      <w:color w:val="auto"/>
                      <w:szCs w:val="21"/>
                    </w:rPr>
                    <w:t>+</w:t>
                  </w:r>
                  <w:r>
                    <w:rPr>
                      <w:rFonts w:hint="eastAsia"/>
                      <w:color w:val="auto"/>
                      <w:szCs w:val="21"/>
                    </w:rPr>
                    <w:t>袋式除尘器（2#）</w:t>
                  </w:r>
                </w:p>
              </w:tc>
              <w:tc>
                <w:tcPr>
                  <w:tcW w:w="1201" w:type="dxa"/>
                  <w:vMerge w:val="continue"/>
                  <w:vAlign w:val="center"/>
                </w:tcPr>
                <w:p>
                  <w:pPr>
                    <w:contextualSpacing/>
                    <w:jc w:val="center"/>
                    <w:rPr>
                      <w:bCs/>
                      <w:color w:val="FF0000"/>
                      <w:szCs w:val="21"/>
                    </w:rPr>
                  </w:pPr>
                </w:p>
              </w:tc>
              <w:tc>
                <w:tcPr>
                  <w:tcW w:w="1078" w:type="dxa"/>
                  <w:vMerge w:val="continue"/>
                  <w:vAlign w:val="center"/>
                </w:tcPr>
                <w:p>
                  <w:pPr>
                    <w:snapToGrid w:val="0"/>
                    <w:jc w:val="center"/>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snapToGrid w:val="0"/>
                    <w:jc w:val="center"/>
                    <w:rPr>
                      <w:color w:val="FF0000"/>
                      <w:szCs w:val="21"/>
                    </w:rPr>
                  </w:pPr>
                  <w:r>
                    <w:rPr>
                      <w:rFonts w:hint="eastAsia"/>
                      <w:color w:val="auto"/>
                      <w:szCs w:val="21"/>
                    </w:rPr>
                    <w:t>烘干工序废气</w:t>
                  </w:r>
                </w:p>
              </w:tc>
              <w:tc>
                <w:tcPr>
                  <w:tcW w:w="1987" w:type="dxa"/>
                  <w:vAlign w:val="center"/>
                </w:tcPr>
                <w:p>
                  <w:pPr>
                    <w:snapToGrid w:val="0"/>
                    <w:jc w:val="center"/>
                    <w:rPr>
                      <w:rFonts w:hint="eastAsia"/>
                      <w:color w:val="FF0000"/>
                      <w:szCs w:val="21"/>
                    </w:rPr>
                  </w:pPr>
                  <w:r>
                    <w:rPr>
                      <w:rFonts w:hint="eastAsia"/>
                      <w:color w:val="auto"/>
                      <w:szCs w:val="21"/>
                      <w:lang w:val="en-US" w:eastAsia="zh-CN"/>
                    </w:rPr>
                    <w:t>2级旋风除尘器（1#、2#）</w:t>
                  </w:r>
                  <w:r>
                    <w:rPr>
                      <w:rFonts w:hint="eastAsia"/>
                      <w:color w:val="auto"/>
                      <w:szCs w:val="21"/>
                    </w:rPr>
                    <w:t>+2级袋式除尘器（3#、4#）</w:t>
                  </w:r>
                </w:p>
              </w:tc>
              <w:tc>
                <w:tcPr>
                  <w:tcW w:w="1201" w:type="dxa"/>
                  <w:vMerge w:val="restart"/>
                  <w:vAlign w:val="center"/>
                </w:tcPr>
                <w:p>
                  <w:pPr>
                    <w:snapToGrid w:val="0"/>
                    <w:jc w:val="center"/>
                    <w:rPr>
                      <w:rFonts w:hint="eastAsia"/>
                      <w:color w:val="auto"/>
                      <w:szCs w:val="21"/>
                      <w:lang w:val="en-US" w:eastAsia="zh-CN"/>
                    </w:rPr>
                  </w:pPr>
                  <w:r>
                    <w:rPr>
                      <w:rFonts w:hint="eastAsia"/>
                      <w:color w:val="auto"/>
                      <w:szCs w:val="21"/>
                    </w:rPr>
                    <w:t>15m高排气筒（DA002）</w:t>
                  </w:r>
                </w:p>
              </w:tc>
              <w:tc>
                <w:tcPr>
                  <w:tcW w:w="1078" w:type="dxa"/>
                  <w:vAlign w:val="center"/>
                </w:tcPr>
                <w:p>
                  <w:pPr>
                    <w:snapToGrid w:val="0"/>
                    <w:jc w:val="center"/>
                    <w:rPr>
                      <w:bCs/>
                      <w:szCs w:val="21"/>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snapToGrid w:val="0"/>
                    <w:jc w:val="center"/>
                    <w:rPr>
                      <w:rFonts w:hint="eastAsia" w:eastAsia="宋体"/>
                      <w:b/>
                      <w:bCs/>
                      <w:color w:val="auto"/>
                      <w:szCs w:val="21"/>
                      <w:u w:val="single"/>
                      <w:lang w:eastAsia="zh-CN"/>
                    </w:rPr>
                  </w:pPr>
                  <w:r>
                    <w:rPr>
                      <w:rFonts w:hint="eastAsia"/>
                      <w:b/>
                      <w:bCs/>
                      <w:color w:val="auto"/>
                      <w:szCs w:val="21"/>
                      <w:u w:val="single"/>
                      <w:lang w:eastAsia="zh-CN"/>
                    </w:rPr>
                    <w:t>成品料仓废气</w:t>
                  </w:r>
                </w:p>
              </w:tc>
              <w:tc>
                <w:tcPr>
                  <w:tcW w:w="1987" w:type="dxa"/>
                  <w:vAlign w:val="center"/>
                </w:tcPr>
                <w:p>
                  <w:pPr>
                    <w:snapToGrid w:val="0"/>
                    <w:jc w:val="center"/>
                    <w:rPr>
                      <w:rFonts w:hint="default"/>
                      <w:b/>
                      <w:bCs/>
                      <w:u w:val="single"/>
                      <w:lang w:val="en-US" w:eastAsia="zh-CN"/>
                    </w:rPr>
                  </w:pPr>
                  <w:r>
                    <w:rPr>
                      <w:rFonts w:hint="eastAsia"/>
                      <w:b/>
                      <w:bCs/>
                      <w:u w:val="single"/>
                      <w:lang w:val="en-US" w:eastAsia="zh-CN"/>
                    </w:rPr>
                    <w:t>3个成品料仓，共3套袋式除尘器（5#、6#、7#）</w:t>
                  </w:r>
                </w:p>
              </w:tc>
              <w:tc>
                <w:tcPr>
                  <w:tcW w:w="1201" w:type="dxa"/>
                  <w:vMerge w:val="continue"/>
                  <w:vAlign w:val="center"/>
                </w:tcPr>
                <w:p>
                  <w:pPr>
                    <w:snapToGrid w:val="0"/>
                    <w:jc w:val="center"/>
                    <w:rPr>
                      <w:rFonts w:hint="eastAsia"/>
                      <w:color w:val="auto"/>
                      <w:szCs w:val="21"/>
                    </w:rPr>
                  </w:pPr>
                </w:p>
              </w:tc>
              <w:tc>
                <w:tcPr>
                  <w:tcW w:w="1078" w:type="dxa"/>
                  <w:vAlign w:val="center"/>
                </w:tcPr>
                <w:p>
                  <w:pPr>
                    <w:snapToGrid w:val="0"/>
                    <w:jc w:val="center"/>
                    <w:rPr>
                      <w:rFonts w:hint="eastAsia"/>
                      <w:b/>
                      <w:bCs/>
                      <w:u w:val="single"/>
                      <w:lang w:val="en-US" w:eastAsia="zh-CN"/>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snapToGrid w:val="0"/>
                    <w:jc w:val="center"/>
                    <w:rPr>
                      <w:rFonts w:hint="eastAsia" w:eastAsia="宋体"/>
                      <w:color w:val="auto"/>
                      <w:szCs w:val="21"/>
                      <w:lang w:eastAsia="zh-CN"/>
                    </w:rPr>
                  </w:pPr>
                  <w:r>
                    <w:rPr>
                      <w:rFonts w:hint="eastAsia"/>
                      <w:b/>
                      <w:bCs/>
                      <w:color w:val="auto"/>
                      <w:szCs w:val="21"/>
                      <w:u w:val="single"/>
                      <w:lang w:eastAsia="zh-CN"/>
                    </w:rPr>
                    <w:t>成品包装废气</w:t>
                  </w:r>
                </w:p>
              </w:tc>
              <w:tc>
                <w:tcPr>
                  <w:tcW w:w="1987" w:type="dxa"/>
                  <w:vAlign w:val="center"/>
                </w:tcPr>
                <w:p>
                  <w:pPr>
                    <w:snapToGrid w:val="0"/>
                    <w:jc w:val="center"/>
                    <w:rPr>
                      <w:rFonts w:hint="default"/>
                      <w:color w:val="auto"/>
                      <w:szCs w:val="21"/>
                      <w:lang w:val="en-US" w:eastAsia="zh-CN"/>
                    </w:rPr>
                  </w:pPr>
                  <w:r>
                    <w:rPr>
                      <w:rFonts w:hint="eastAsia"/>
                      <w:b/>
                      <w:bCs/>
                      <w:color w:val="auto"/>
                      <w:szCs w:val="21"/>
                      <w:u w:val="single"/>
                      <w:lang w:val="en-US" w:eastAsia="zh-CN"/>
                    </w:rPr>
                    <w:t>3台包装机，共3套袋式除尘器（8#、9#、10#）</w:t>
                  </w:r>
                </w:p>
              </w:tc>
              <w:tc>
                <w:tcPr>
                  <w:tcW w:w="1201" w:type="dxa"/>
                  <w:vMerge w:val="continue"/>
                  <w:vAlign w:val="center"/>
                </w:tcPr>
                <w:p>
                  <w:pPr>
                    <w:snapToGrid w:val="0"/>
                    <w:jc w:val="center"/>
                    <w:rPr>
                      <w:rFonts w:hint="eastAsia"/>
                      <w:color w:val="auto"/>
                      <w:szCs w:val="21"/>
                    </w:rPr>
                  </w:pPr>
                </w:p>
              </w:tc>
              <w:tc>
                <w:tcPr>
                  <w:tcW w:w="1078" w:type="dxa"/>
                  <w:vAlign w:val="center"/>
                </w:tcPr>
                <w:p>
                  <w:pPr>
                    <w:snapToGrid w:val="0"/>
                    <w:jc w:val="center"/>
                    <w:rPr>
                      <w:rFonts w:hint="eastAsia"/>
                      <w:b/>
                      <w:bCs/>
                      <w:u w:val="single"/>
                      <w:lang w:val="en-US" w:eastAsia="zh-CN"/>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snapToGrid w:val="0"/>
                    <w:jc w:val="center"/>
                    <w:rPr>
                      <w:b w:val="0"/>
                      <w:bCs w:val="0"/>
                      <w:color w:val="auto"/>
                      <w:szCs w:val="21"/>
                      <w:u w:val="none"/>
                    </w:rPr>
                  </w:pPr>
                  <w:r>
                    <w:rPr>
                      <w:rFonts w:hint="eastAsia"/>
                      <w:b w:val="0"/>
                      <w:bCs w:val="0"/>
                      <w:color w:val="auto"/>
                      <w:szCs w:val="21"/>
                      <w:u w:val="none"/>
                    </w:rPr>
                    <w:t>原料卸料粉尘</w:t>
                  </w:r>
                </w:p>
              </w:tc>
              <w:tc>
                <w:tcPr>
                  <w:tcW w:w="3188" w:type="dxa"/>
                  <w:gridSpan w:val="2"/>
                  <w:vAlign w:val="center"/>
                </w:tcPr>
                <w:p>
                  <w:pPr>
                    <w:snapToGrid w:val="0"/>
                    <w:jc w:val="center"/>
                    <w:rPr>
                      <w:rFonts w:hint="eastAsia"/>
                      <w:b w:val="0"/>
                      <w:bCs w:val="0"/>
                      <w:color w:val="auto"/>
                      <w:szCs w:val="21"/>
                      <w:u w:val="none"/>
                    </w:rPr>
                  </w:pPr>
                  <w:r>
                    <w:rPr>
                      <w:rFonts w:hint="eastAsia"/>
                      <w:b w:val="0"/>
                      <w:bCs w:val="0"/>
                      <w:color w:val="auto"/>
                      <w:szCs w:val="21"/>
                      <w:u w:val="none"/>
                    </w:rPr>
                    <w:t>原料库四面密闭，通道口安装卷帘门；</w:t>
                  </w:r>
                  <w:r>
                    <w:rPr>
                      <w:rFonts w:hint="eastAsia"/>
                      <w:b/>
                      <w:bCs/>
                      <w:color w:val="auto"/>
                      <w:szCs w:val="21"/>
                      <w:u w:val="single"/>
                    </w:rPr>
                    <w:t>所有地面硬化；</w:t>
                  </w:r>
                  <w:r>
                    <w:rPr>
                      <w:rFonts w:hint="eastAsia"/>
                      <w:b w:val="0"/>
                      <w:bCs w:val="0"/>
                      <w:color w:val="auto"/>
                      <w:szCs w:val="21"/>
                      <w:u w:val="none"/>
                    </w:rPr>
                    <w:t>安装固定的喷干雾抑尘装置。</w:t>
                  </w:r>
                  <w:r>
                    <w:rPr>
                      <w:rFonts w:hint="eastAsia"/>
                      <w:b/>
                      <w:bCs/>
                      <w:snapToGrid w:val="0"/>
                      <w:color w:val="auto"/>
                      <w:kern w:val="0"/>
                      <w:szCs w:val="21"/>
                      <w:u w:val="single"/>
                    </w:rPr>
                    <w:t>厂区道路硬化，</w:t>
                  </w:r>
                  <w:r>
                    <w:rPr>
                      <w:rFonts w:hint="eastAsia"/>
                      <w:b w:val="0"/>
                      <w:bCs w:val="0"/>
                      <w:snapToGrid w:val="0"/>
                      <w:color w:val="auto"/>
                      <w:kern w:val="0"/>
                      <w:szCs w:val="21"/>
                      <w:u w:val="none"/>
                    </w:rPr>
                    <w:t>定期清扫；裸露地面硬化</w:t>
                  </w:r>
                  <w:r>
                    <w:rPr>
                      <w:rFonts w:hint="eastAsia"/>
                      <w:b w:val="0"/>
                      <w:bCs w:val="0"/>
                      <w:snapToGrid w:val="0"/>
                      <w:color w:val="auto"/>
                      <w:kern w:val="0"/>
                      <w:szCs w:val="21"/>
                      <w:u w:val="none"/>
                      <w:lang w:eastAsia="zh-CN"/>
                    </w:rPr>
                    <w:t>或绿化</w:t>
                  </w:r>
                  <w:r>
                    <w:rPr>
                      <w:rFonts w:hint="eastAsia"/>
                      <w:b w:val="0"/>
                      <w:bCs w:val="0"/>
                      <w:snapToGrid w:val="0"/>
                      <w:color w:val="auto"/>
                      <w:kern w:val="0"/>
                      <w:szCs w:val="21"/>
                      <w:u w:val="none"/>
                    </w:rPr>
                    <w:t>；配备车辆冲洗设施。</w:t>
                  </w:r>
                </w:p>
              </w:tc>
              <w:tc>
                <w:tcPr>
                  <w:tcW w:w="1078" w:type="dxa"/>
                  <w:vAlign w:val="center"/>
                </w:tcPr>
                <w:p>
                  <w:pPr>
                    <w:snapToGrid w:val="0"/>
                    <w:jc w:val="center"/>
                    <w:rPr>
                      <w:color w:val="000000"/>
                      <w:szCs w:val="21"/>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restart"/>
                  <w:vAlign w:val="center"/>
                </w:tcPr>
                <w:p>
                  <w:pPr>
                    <w:pStyle w:val="50"/>
                    <w:snapToGrid w:val="0"/>
                    <w:jc w:val="center"/>
                  </w:pPr>
                  <w:r>
                    <w:rPr>
                      <w:rFonts w:hint="eastAsia"/>
                    </w:rPr>
                    <w:t>废水</w:t>
                  </w:r>
                </w:p>
              </w:tc>
              <w:tc>
                <w:tcPr>
                  <w:tcW w:w="1950" w:type="dxa"/>
                  <w:vAlign w:val="center"/>
                </w:tcPr>
                <w:p>
                  <w:pPr>
                    <w:pStyle w:val="50"/>
                    <w:snapToGrid w:val="0"/>
                    <w:jc w:val="center"/>
                    <w:rPr>
                      <w:highlight w:val="yellow"/>
                    </w:rPr>
                  </w:pPr>
                  <w:r>
                    <w:rPr>
                      <w:rFonts w:hint="eastAsia"/>
                    </w:rPr>
                    <w:t>车辆冲洗废水</w:t>
                  </w:r>
                </w:p>
              </w:tc>
              <w:tc>
                <w:tcPr>
                  <w:tcW w:w="3188" w:type="dxa"/>
                  <w:gridSpan w:val="2"/>
                  <w:vAlign w:val="center"/>
                </w:tcPr>
                <w:p>
                  <w:pPr>
                    <w:pStyle w:val="50"/>
                    <w:snapToGrid w:val="0"/>
                    <w:jc w:val="center"/>
                    <w:rPr>
                      <w:rFonts w:hint="eastAsia"/>
                    </w:rPr>
                  </w:pPr>
                  <w:r>
                    <w:rPr>
                      <w:rFonts w:hint="eastAsia"/>
                    </w:rPr>
                    <w:t>设置沉淀池，废水沉淀后循环使用不外排</w:t>
                  </w:r>
                </w:p>
              </w:tc>
              <w:tc>
                <w:tcPr>
                  <w:tcW w:w="1078" w:type="dxa"/>
                  <w:vAlign w:val="center"/>
                </w:tcPr>
                <w:p>
                  <w:pPr>
                    <w:pStyle w:val="50"/>
                    <w:snapToGrid w:val="0"/>
                    <w:jc w:val="cente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pStyle w:val="50"/>
                    <w:snapToGrid w:val="0"/>
                    <w:jc w:val="center"/>
                  </w:pPr>
                  <w:r>
                    <w:rPr>
                      <w:rFonts w:hint="eastAsia"/>
                    </w:rPr>
                    <w:t>生产废水</w:t>
                  </w:r>
                </w:p>
              </w:tc>
              <w:tc>
                <w:tcPr>
                  <w:tcW w:w="3188" w:type="dxa"/>
                  <w:gridSpan w:val="2"/>
                  <w:vAlign w:val="center"/>
                </w:tcPr>
                <w:p>
                  <w:pPr>
                    <w:pStyle w:val="50"/>
                    <w:snapToGrid w:val="0"/>
                    <w:jc w:val="center"/>
                    <w:rPr>
                      <w:rFonts w:hint="eastAsia"/>
                    </w:rPr>
                  </w:pPr>
                  <w:r>
                    <w:rPr>
                      <w:rFonts w:hint="eastAsia"/>
                    </w:rPr>
                    <w:t>设置浓缩罐处理后，在储水池暂存，循环使用，不外排</w:t>
                  </w:r>
                </w:p>
              </w:tc>
              <w:tc>
                <w:tcPr>
                  <w:tcW w:w="1078" w:type="dxa"/>
                  <w:vAlign w:val="center"/>
                </w:tcPr>
                <w:p>
                  <w:pPr>
                    <w:pStyle w:val="50"/>
                    <w:snapToGrid w:val="0"/>
                    <w:jc w:val="cente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rPr>
                      <w:highlight w:val="yellow"/>
                    </w:rPr>
                  </w:pPr>
                </w:p>
              </w:tc>
              <w:tc>
                <w:tcPr>
                  <w:tcW w:w="1950" w:type="dxa"/>
                  <w:vAlign w:val="center"/>
                </w:tcPr>
                <w:p>
                  <w:pPr>
                    <w:pStyle w:val="50"/>
                    <w:snapToGrid w:val="0"/>
                    <w:jc w:val="center"/>
                    <w:rPr>
                      <w:highlight w:val="yellow"/>
                    </w:rPr>
                  </w:pPr>
                  <w:r>
                    <w:rPr>
                      <w:rFonts w:hint="eastAsia"/>
                    </w:rPr>
                    <w:t>生活废水</w:t>
                  </w:r>
                </w:p>
              </w:tc>
              <w:tc>
                <w:tcPr>
                  <w:tcW w:w="3188" w:type="dxa"/>
                  <w:gridSpan w:val="2"/>
                  <w:vAlign w:val="center"/>
                </w:tcPr>
                <w:p>
                  <w:pPr>
                    <w:pStyle w:val="50"/>
                    <w:snapToGrid w:val="0"/>
                    <w:jc w:val="center"/>
                    <w:rPr>
                      <w:rFonts w:hint="eastAsia"/>
                    </w:rPr>
                  </w:pPr>
                  <w:r>
                    <w:rPr>
                      <w:rFonts w:hint="eastAsia"/>
                    </w:rPr>
                    <w:t>食堂废水经隔油池处理后，同其他生活废水汇入化粪池处理后，</w:t>
                  </w:r>
                  <w:r>
                    <w:rPr>
                      <w:rFonts w:hint="eastAsia"/>
                      <w:lang w:eastAsia="zh-CN"/>
                    </w:rPr>
                    <w:t>由吸粪车运至</w:t>
                  </w:r>
                  <w:r>
                    <w:rPr>
                      <w:rFonts w:hint="eastAsia"/>
                    </w:rPr>
                    <w:t>集聚区污水处理厂处理</w:t>
                  </w:r>
                  <w:r>
                    <w:rPr>
                      <w:rFonts w:hint="eastAsia"/>
                      <w:lang w:eastAsia="zh-CN"/>
                    </w:rPr>
                    <w:t>达标</w:t>
                  </w:r>
                  <w:r>
                    <w:rPr>
                      <w:rFonts w:hint="eastAsia"/>
                    </w:rPr>
                    <w:t>后综合利用，不外排。</w:t>
                  </w:r>
                </w:p>
              </w:tc>
              <w:tc>
                <w:tcPr>
                  <w:tcW w:w="1078" w:type="dxa"/>
                  <w:vAlign w:val="center"/>
                </w:tcPr>
                <w:p>
                  <w:pPr>
                    <w:pStyle w:val="50"/>
                    <w:snapToGrid w:val="0"/>
                    <w:jc w:val="center"/>
                    <w:rPr>
                      <w:highlight w:val="yellow"/>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restart"/>
                  <w:vAlign w:val="center"/>
                </w:tcPr>
                <w:p>
                  <w:pPr>
                    <w:pStyle w:val="50"/>
                    <w:snapToGrid w:val="0"/>
                    <w:jc w:val="center"/>
                  </w:pPr>
                  <w:r>
                    <w:rPr>
                      <w:rFonts w:hint="eastAsia"/>
                    </w:rPr>
                    <w:t>固体</w:t>
                  </w:r>
                </w:p>
                <w:p>
                  <w:pPr>
                    <w:pStyle w:val="50"/>
                    <w:snapToGrid w:val="0"/>
                    <w:jc w:val="center"/>
                    <w:rPr>
                      <w:highlight w:val="yellow"/>
                    </w:rPr>
                  </w:pPr>
                  <w:r>
                    <w:rPr>
                      <w:rFonts w:hint="eastAsia"/>
                    </w:rPr>
                    <w:t>废物</w:t>
                  </w:r>
                </w:p>
              </w:tc>
              <w:tc>
                <w:tcPr>
                  <w:tcW w:w="1950" w:type="dxa"/>
                  <w:vAlign w:val="center"/>
                </w:tcPr>
                <w:p>
                  <w:pPr>
                    <w:pStyle w:val="50"/>
                    <w:snapToGrid w:val="0"/>
                    <w:jc w:val="center"/>
                  </w:pPr>
                  <w:r>
                    <w:rPr>
                      <w:rFonts w:hint="eastAsia"/>
                    </w:rPr>
                    <w:t>除尘器收集粉尘</w:t>
                  </w:r>
                </w:p>
              </w:tc>
              <w:tc>
                <w:tcPr>
                  <w:tcW w:w="3188" w:type="dxa"/>
                  <w:gridSpan w:val="2"/>
                  <w:vAlign w:val="center"/>
                </w:tcPr>
                <w:p>
                  <w:pPr>
                    <w:pStyle w:val="50"/>
                    <w:snapToGrid w:val="0"/>
                    <w:jc w:val="center"/>
                    <w:rPr>
                      <w:rFonts w:hint="eastAsia"/>
                    </w:rPr>
                  </w:pPr>
                  <w:r>
                    <w:rPr>
                      <w:rFonts w:hint="eastAsia"/>
                    </w:rPr>
                    <w:t>作为产品外售</w:t>
                  </w:r>
                </w:p>
              </w:tc>
              <w:tc>
                <w:tcPr>
                  <w:tcW w:w="1078" w:type="dxa"/>
                  <w:vAlign w:val="center"/>
                </w:tcPr>
                <w:p>
                  <w:pPr>
                    <w:pStyle w:val="50"/>
                    <w:snapToGrid w:val="0"/>
                    <w:jc w:val="center"/>
                    <w:rPr>
                      <w:color w:val="FF0000"/>
                    </w:rP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pStyle w:val="50"/>
                    <w:snapToGrid w:val="0"/>
                    <w:jc w:val="center"/>
                  </w:pPr>
                  <w:r>
                    <w:rPr>
                      <w:rFonts w:hint="eastAsia"/>
                      <w:lang w:eastAsia="zh-CN"/>
                    </w:rPr>
                    <w:t>压滤</w:t>
                  </w:r>
                  <w:r>
                    <w:rPr>
                      <w:rFonts w:hint="eastAsia"/>
                    </w:rPr>
                    <w:t>料</w:t>
                  </w:r>
                </w:p>
              </w:tc>
              <w:tc>
                <w:tcPr>
                  <w:tcW w:w="3188" w:type="dxa"/>
                  <w:gridSpan w:val="2"/>
                  <w:vAlign w:val="center"/>
                </w:tcPr>
                <w:p>
                  <w:pPr>
                    <w:pStyle w:val="50"/>
                    <w:snapToGrid w:val="0"/>
                    <w:jc w:val="center"/>
                    <w:rPr>
                      <w:rFonts w:hint="eastAsia"/>
                    </w:rPr>
                  </w:pPr>
                  <w:r>
                    <w:rPr>
                      <w:rFonts w:hint="eastAsia"/>
                    </w:rPr>
                    <w:t>外售给陶瓷生产厂家</w:t>
                  </w:r>
                </w:p>
              </w:tc>
              <w:tc>
                <w:tcPr>
                  <w:tcW w:w="1078" w:type="dxa"/>
                  <w:vAlign w:val="center"/>
                </w:tcPr>
                <w:p>
                  <w:pPr>
                    <w:pStyle w:val="50"/>
                    <w:snapToGrid w:val="0"/>
                    <w:jc w:val="cente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Merge w:val="continue"/>
                  <w:vAlign w:val="center"/>
                </w:tcPr>
                <w:p>
                  <w:pPr>
                    <w:pStyle w:val="50"/>
                    <w:snapToGrid w:val="0"/>
                    <w:jc w:val="center"/>
                  </w:pPr>
                </w:p>
              </w:tc>
              <w:tc>
                <w:tcPr>
                  <w:tcW w:w="1950" w:type="dxa"/>
                  <w:vAlign w:val="center"/>
                </w:tcPr>
                <w:p>
                  <w:pPr>
                    <w:pStyle w:val="50"/>
                    <w:snapToGrid w:val="0"/>
                    <w:jc w:val="center"/>
                  </w:pPr>
                  <w:r>
                    <w:rPr>
                      <w:rFonts w:hint="eastAsia"/>
                      <w:color w:val="000000"/>
                    </w:rPr>
                    <w:t>废机油、废润滑油</w:t>
                  </w:r>
                </w:p>
              </w:tc>
              <w:tc>
                <w:tcPr>
                  <w:tcW w:w="3188" w:type="dxa"/>
                  <w:gridSpan w:val="2"/>
                  <w:vAlign w:val="center"/>
                </w:tcPr>
                <w:p>
                  <w:pPr>
                    <w:pStyle w:val="50"/>
                    <w:snapToGrid w:val="0"/>
                    <w:jc w:val="center"/>
                    <w:rPr>
                      <w:rFonts w:hint="eastAsia"/>
                      <w:color w:val="000000"/>
                    </w:rPr>
                  </w:pPr>
                  <w:r>
                    <w:rPr>
                      <w:rFonts w:hint="eastAsia"/>
                    </w:rPr>
                    <w:t>危险废物暂存间暂存后，交由有资质单位合理处置</w:t>
                  </w:r>
                </w:p>
              </w:tc>
              <w:tc>
                <w:tcPr>
                  <w:tcW w:w="1078" w:type="dxa"/>
                  <w:vAlign w:val="center"/>
                </w:tcPr>
                <w:p>
                  <w:pPr>
                    <w:pStyle w:val="50"/>
                    <w:snapToGrid w:val="0"/>
                    <w:jc w:val="center"/>
                  </w:pPr>
                  <w:r>
                    <w:rPr>
                      <w:rFonts w:hint="eastAsia"/>
                      <w:b/>
                      <w:bCs/>
                      <w:u w:val="single"/>
                      <w:lang w:val="en-US" w:eastAsia="zh-CN"/>
                    </w:rPr>
                    <w:t>新建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650" w:type="dxa"/>
                  <w:vMerge w:val="continue"/>
                  <w:vAlign w:val="center"/>
                </w:tcPr>
                <w:p>
                  <w:pPr>
                    <w:pStyle w:val="50"/>
                    <w:snapToGrid w:val="0"/>
                    <w:jc w:val="center"/>
                  </w:pPr>
                </w:p>
              </w:tc>
              <w:tc>
                <w:tcPr>
                  <w:tcW w:w="1069" w:type="dxa"/>
                  <w:vAlign w:val="center"/>
                </w:tcPr>
                <w:p>
                  <w:pPr>
                    <w:pStyle w:val="50"/>
                    <w:snapToGrid w:val="0"/>
                    <w:jc w:val="center"/>
                  </w:pPr>
                  <w:r>
                    <w:rPr>
                      <w:rFonts w:hint="eastAsia"/>
                    </w:rPr>
                    <w:t>噪声</w:t>
                  </w:r>
                </w:p>
              </w:tc>
              <w:tc>
                <w:tcPr>
                  <w:tcW w:w="5138" w:type="dxa"/>
                  <w:gridSpan w:val="3"/>
                  <w:vAlign w:val="center"/>
                </w:tcPr>
                <w:p>
                  <w:pPr>
                    <w:pStyle w:val="50"/>
                    <w:snapToGrid w:val="0"/>
                    <w:jc w:val="center"/>
                  </w:pPr>
                  <w:r>
                    <w:t>基础减</w:t>
                  </w:r>
                  <w:r>
                    <w:rPr>
                      <w:rFonts w:hint="eastAsia"/>
                    </w:rPr>
                    <w:t>振</w:t>
                  </w:r>
                  <w:r>
                    <w:t>、厂房隔音</w:t>
                  </w:r>
                  <w:r>
                    <w:rPr>
                      <w:rFonts w:hint="eastAsia"/>
                    </w:rPr>
                    <w:t>、距离衰减</w:t>
                  </w:r>
                  <w:r>
                    <w:t>等</w:t>
                  </w:r>
                </w:p>
              </w:tc>
              <w:tc>
                <w:tcPr>
                  <w:tcW w:w="1078" w:type="dxa"/>
                  <w:vAlign w:val="center"/>
                </w:tcPr>
                <w:p>
                  <w:pPr>
                    <w:pStyle w:val="50"/>
                    <w:snapToGrid w:val="0"/>
                    <w:jc w:val="center"/>
                  </w:pPr>
                  <w:r>
                    <w:rPr>
                      <w:rFonts w:hint="eastAsia"/>
                      <w:b/>
                      <w:bCs/>
                      <w:u w:val="single"/>
                      <w:lang w:val="en-US" w:eastAsia="zh-CN"/>
                    </w:rPr>
                    <w:t>新建</w:t>
                  </w:r>
                </w:p>
              </w:tc>
            </w:tr>
          </w:tbl>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2 项目主要产品及产能</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本项目主要产品为釉用新材料，产品包装规格为50kg/袋，方案详见表2-2。</w:t>
            </w:r>
          </w:p>
          <w:p>
            <w:pPr>
              <w:pStyle w:val="44"/>
              <w:tabs>
                <w:tab w:val="left" w:pos="895"/>
                <w:tab w:val="clear" w:pos="1322"/>
              </w:tabs>
              <w:spacing w:line="360" w:lineRule="auto"/>
              <w:rPr>
                <w:rFonts w:eastAsia="宋体"/>
                <w:sz w:val="24"/>
                <w:szCs w:val="24"/>
              </w:rPr>
            </w:pPr>
            <w:r>
              <w:rPr>
                <w:rFonts w:hint="eastAsia" w:eastAsia="宋体"/>
                <w:sz w:val="24"/>
                <w:szCs w:val="24"/>
              </w:rPr>
              <w:t>表2-2    项目的主要产品方案一览表</w:t>
            </w:r>
          </w:p>
          <w:tbl>
            <w:tblPr>
              <w:tblStyle w:val="26"/>
              <w:tblW w:w="793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9"/>
              <w:gridCol w:w="1742"/>
              <w:gridCol w:w="1662"/>
              <w:gridCol w:w="1397"/>
              <w:gridCol w:w="2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689" w:type="dxa"/>
                  <w:vAlign w:val="center"/>
                </w:tcPr>
                <w:p>
                  <w:pPr>
                    <w:pStyle w:val="50"/>
                    <w:jc w:val="center"/>
                    <w:rPr>
                      <w:b/>
                    </w:rPr>
                  </w:pPr>
                  <w:r>
                    <w:rPr>
                      <w:rFonts w:hint="eastAsia"/>
                      <w:b/>
                    </w:rPr>
                    <w:t>序号</w:t>
                  </w:r>
                </w:p>
              </w:tc>
              <w:tc>
                <w:tcPr>
                  <w:tcW w:w="1742" w:type="dxa"/>
                  <w:vAlign w:val="center"/>
                </w:tcPr>
                <w:p>
                  <w:pPr>
                    <w:pStyle w:val="50"/>
                    <w:jc w:val="center"/>
                    <w:rPr>
                      <w:b/>
                    </w:rPr>
                  </w:pPr>
                  <w:r>
                    <w:rPr>
                      <w:rFonts w:hint="eastAsia"/>
                      <w:b/>
                    </w:rPr>
                    <w:t>产品名称</w:t>
                  </w:r>
                </w:p>
              </w:tc>
              <w:tc>
                <w:tcPr>
                  <w:tcW w:w="1662" w:type="dxa"/>
                  <w:vAlign w:val="center"/>
                </w:tcPr>
                <w:p>
                  <w:pPr>
                    <w:pStyle w:val="50"/>
                    <w:jc w:val="center"/>
                    <w:rPr>
                      <w:b/>
                    </w:rPr>
                  </w:pPr>
                  <w:r>
                    <w:rPr>
                      <w:rFonts w:hint="eastAsia"/>
                      <w:b/>
                    </w:rPr>
                    <w:t>粒径</w:t>
                  </w:r>
                </w:p>
              </w:tc>
              <w:tc>
                <w:tcPr>
                  <w:tcW w:w="1397" w:type="dxa"/>
                  <w:vAlign w:val="center"/>
                </w:tcPr>
                <w:p>
                  <w:pPr>
                    <w:pStyle w:val="50"/>
                    <w:jc w:val="center"/>
                    <w:rPr>
                      <w:b/>
                    </w:rPr>
                  </w:pPr>
                  <w:r>
                    <w:rPr>
                      <w:rFonts w:hint="eastAsia"/>
                      <w:b/>
                    </w:rPr>
                    <w:t>产能</w:t>
                  </w:r>
                </w:p>
              </w:tc>
              <w:tc>
                <w:tcPr>
                  <w:tcW w:w="2445" w:type="dxa"/>
                  <w:vAlign w:val="center"/>
                </w:tcPr>
                <w:p>
                  <w:pPr>
                    <w:pStyle w:val="50"/>
                    <w:jc w:val="center"/>
                    <w:rPr>
                      <w:b/>
                    </w:rPr>
                  </w:pPr>
                  <w:r>
                    <w:rPr>
                      <w:rFonts w:hint="eastAsia"/>
                      <w:b/>
                    </w:rPr>
                    <w:t>用途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689" w:type="dxa"/>
                  <w:vAlign w:val="center"/>
                </w:tcPr>
                <w:p>
                  <w:pPr>
                    <w:pStyle w:val="50"/>
                    <w:jc w:val="center"/>
                    <w:rPr>
                      <w:kern w:val="2"/>
                    </w:rPr>
                  </w:pPr>
                  <w:r>
                    <w:rPr>
                      <w:rFonts w:hint="eastAsia"/>
                      <w:kern w:val="2"/>
                    </w:rPr>
                    <w:t>1</w:t>
                  </w:r>
                </w:p>
              </w:tc>
              <w:tc>
                <w:tcPr>
                  <w:tcW w:w="1742" w:type="dxa"/>
                  <w:vAlign w:val="center"/>
                </w:tcPr>
                <w:p>
                  <w:pPr>
                    <w:pStyle w:val="50"/>
                    <w:jc w:val="center"/>
                    <w:rPr>
                      <w:kern w:val="2"/>
                    </w:rPr>
                  </w:pPr>
                  <w:r>
                    <w:rPr>
                      <w:rFonts w:hint="eastAsia"/>
                      <w:kern w:val="2"/>
                    </w:rPr>
                    <w:t>釉用新材料</w:t>
                  </w:r>
                </w:p>
              </w:tc>
              <w:tc>
                <w:tcPr>
                  <w:tcW w:w="1662" w:type="dxa"/>
                  <w:vAlign w:val="center"/>
                </w:tcPr>
                <w:p>
                  <w:pPr>
                    <w:pStyle w:val="50"/>
                    <w:jc w:val="center"/>
                    <w:rPr>
                      <w:kern w:val="2"/>
                    </w:rPr>
                  </w:pPr>
                  <w:r>
                    <w:rPr>
                      <w:rFonts w:hint="eastAsia"/>
                      <w:kern w:val="2"/>
                    </w:rPr>
                    <w:t>200目</w:t>
                  </w:r>
                </w:p>
              </w:tc>
              <w:tc>
                <w:tcPr>
                  <w:tcW w:w="1397" w:type="dxa"/>
                  <w:vAlign w:val="center"/>
                </w:tcPr>
                <w:p>
                  <w:pPr>
                    <w:pStyle w:val="50"/>
                    <w:jc w:val="center"/>
                    <w:rPr>
                      <w:kern w:val="2"/>
                    </w:rPr>
                  </w:pPr>
                  <w:r>
                    <w:rPr>
                      <w:rFonts w:hint="eastAsia"/>
                      <w:kern w:val="2"/>
                    </w:rPr>
                    <w:t>8万t/a</w:t>
                  </w:r>
                </w:p>
              </w:tc>
              <w:tc>
                <w:tcPr>
                  <w:tcW w:w="2445" w:type="dxa"/>
                  <w:vAlign w:val="center"/>
                </w:tcPr>
                <w:p>
                  <w:pPr>
                    <w:pStyle w:val="50"/>
                    <w:jc w:val="center"/>
                    <w:rPr>
                      <w:b/>
                    </w:rPr>
                  </w:pPr>
                  <w:r>
                    <w:rPr>
                      <w:rFonts w:hint="eastAsia"/>
                      <w:bCs/>
                    </w:rPr>
                    <w:t>主要用于3D喷墨釉水、数码釉、航空航天涂料等</w:t>
                  </w:r>
                </w:p>
              </w:tc>
            </w:tr>
          </w:tbl>
          <w:p>
            <w:pPr>
              <w:autoSpaceDE w:val="0"/>
              <w:autoSpaceDN w:val="0"/>
              <w:adjustRightInd w:val="0"/>
              <w:snapToGrid w:val="0"/>
              <w:spacing w:before="120" w:beforeLines="50" w:line="360" w:lineRule="auto"/>
              <w:ind w:firstLine="482" w:firstLineChars="200"/>
              <w:rPr>
                <w:rFonts w:cs="宋体"/>
                <w:b/>
                <w:bCs/>
                <w:kern w:val="0"/>
                <w:sz w:val="24"/>
              </w:rPr>
            </w:pPr>
            <w:r>
              <w:rPr>
                <w:rFonts w:hint="eastAsia" w:cs="宋体"/>
                <w:b/>
                <w:bCs/>
                <w:kern w:val="0"/>
                <w:sz w:val="24"/>
              </w:rPr>
              <w:t>3 主要生产设备、设施</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本项目主要生产设备见表2-3。</w:t>
            </w:r>
          </w:p>
          <w:p>
            <w:pPr>
              <w:pStyle w:val="44"/>
              <w:spacing w:line="360" w:lineRule="auto"/>
              <w:rPr>
                <w:rFonts w:eastAsia="宋体"/>
                <w:sz w:val="24"/>
                <w:szCs w:val="24"/>
              </w:rPr>
            </w:pPr>
            <w:r>
              <w:rPr>
                <w:rFonts w:hint="eastAsia" w:eastAsia="宋体"/>
                <w:sz w:val="24"/>
                <w:szCs w:val="24"/>
              </w:rPr>
              <w:t>表2-3</w:t>
            </w:r>
            <w:r>
              <w:rPr>
                <w:rFonts w:eastAsia="宋体"/>
                <w:sz w:val="24"/>
                <w:szCs w:val="24"/>
              </w:rPr>
              <w:t xml:space="preserve">    </w:t>
            </w:r>
            <w:r>
              <w:rPr>
                <w:rFonts w:hint="eastAsia" w:eastAsia="宋体"/>
                <w:sz w:val="24"/>
                <w:szCs w:val="24"/>
              </w:rPr>
              <w:t>本项目主要设备一览表</w:t>
            </w:r>
          </w:p>
          <w:tbl>
            <w:tblPr>
              <w:tblStyle w:val="26"/>
              <w:tblW w:w="793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0"/>
              <w:gridCol w:w="2251"/>
              <w:gridCol w:w="12"/>
              <w:gridCol w:w="1788"/>
              <w:gridCol w:w="12"/>
              <w:gridCol w:w="1315"/>
              <w:gridCol w:w="12"/>
              <w:gridCol w:w="17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right w:val="single" w:color="000000" w:sz="4" w:space="0"/>
                  </w:tcBorders>
                  <w:vAlign w:val="center"/>
                </w:tcPr>
                <w:p>
                  <w:pPr>
                    <w:pStyle w:val="50"/>
                    <w:jc w:val="center"/>
                    <w:rPr>
                      <w:b/>
                      <w:kern w:val="2"/>
                    </w:rPr>
                  </w:pPr>
                  <w:r>
                    <w:rPr>
                      <w:rFonts w:hint="eastAsia"/>
                      <w:b/>
                      <w:kern w:val="2"/>
                    </w:rPr>
                    <w:t>序号</w:t>
                  </w:r>
                </w:p>
              </w:tc>
              <w:tc>
                <w:tcPr>
                  <w:tcW w:w="2263" w:type="dxa"/>
                  <w:gridSpan w:val="2"/>
                  <w:tcBorders>
                    <w:top w:val="single" w:color="000000" w:sz="4" w:space="0"/>
                    <w:left w:val="single" w:color="000000" w:sz="4" w:space="0"/>
                    <w:right w:val="single" w:color="000000" w:sz="4" w:space="0"/>
                  </w:tcBorders>
                  <w:vAlign w:val="center"/>
                </w:tcPr>
                <w:p>
                  <w:pPr>
                    <w:pStyle w:val="50"/>
                    <w:jc w:val="center"/>
                    <w:rPr>
                      <w:b/>
                      <w:kern w:val="2"/>
                    </w:rPr>
                  </w:pPr>
                  <w:r>
                    <w:rPr>
                      <w:rFonts w:hint="eastAsia"/>
                      <w:b/>
                      <w:kern w:val="2"/>
                    </w:rPr>
                    <w:t>设备名称</w:t>
                  </w:r>
                </w:p>
              </w:tc>
              <w:tc>
                <w:tcPr>
                  <w:tcW w:w="1800" w:type="dxa"/>
                  <w:gridSpan w:val="2"/>
                  <w:tcBorders>
                    <w:top w:val="single" w:color="000000" w:sz="4" w:space="0"/>
                    <w:left w:val="single" w:color="000000" w:sz="4" w:space="0"/>
                    <w:right w:val="single" w:color="000000" w:sz="4" w:space="0"/>
                  </w:tcBorders>
                  <w:vAlign w:val="center"/>
                </w:tcPr>
                <w:p>
                  <w:pPr>
                    <w:pStyle w:val="50"/>
                    <w:jc w:val="center"/>
                    <w:rPr>
                      <w:b/>
                      <w:kern w:val="2"/>
                    </w:rPr>
                  </w:pPr>
                  <w:r>
                    <w:rPr>
                      <w:rFonts w:hint="eastAsia"/>
                      <w:b/>
                      <w:kern w:val="2"/>
                    </w:rPr>
                    <w:t>规格及型号</w:t>
                  </w:r>
                </w:p>
              </w:tc>
              <w:tc>
                <w:tcPr>
                  <w:tcW w:w="1327" w:type="dxa"/>
                  <w:gridSpan w:val="2"/>
                  <w:tcBorders>
                    <w:top w:val="single" w:color="000000" w:sz="4" w:space="0"/>
                    <w:left w:val="single" w:color="000000" w:sz="4" w:space="0"/>
                    <w:right w:val="single" w:color="000000" w:sz="4" w:space="0"/>
                  </w:tcBorders>
                  <w:vAlign w:val="center"/>
                </w:tcPr>
                <w:p>
                  <w:pPr>
                    <w:pStyle w:val="50"/>
                    <w:jc w:val="center"/>
                    <w:rPr>
                      <w:b/>
                      <w:kern w:val="2"/>
                    </w:rPr>
                  </w:pPr>
                  <w:r>
                    <w:rPr>
                      <w:rFonts w:hint="eastAsia"/>
                      <w:b/>
                      <w:kern w:val="2"/>
                    </w:rPr>
                    <w:t>数量</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b/>
                      <w:kern w:val="2"/>
                    </w:rPr>
                  </w:pPr>
                  <w:r>
                    <w:rPr>
                      <w:rFonts w:hint="eastAsia"/>
                      <w:b/>
                      <w:kern w:val="2"/>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935" w:type="dxa"/>
                  <w:gridSpan w:val="8"/>
                  <w:tcBorders>
                    <w:top w:val="single" w:color="000000" w:sz="4" w:space="0"/>
                    <w:left w:val="single" w:color="000000" w:sz="4" w:space="0"/>
                    <w:right w:val="single" w:color="000000" w:sz="4" w:space="0"/>
                  </w:tcBorders>
                  <w:vAlign w:val="center"/>
                </w:tcPr>
                <w:p>
                  <w:pPr>
                    <w:pStyle w:val="50"/>
                    <w:jc w:val="left"/>
                    <w:rPr>
                      <w:b/>
                      <w:kern w:val="2"/>
                    </w:rPr>
                  </w:pPr>
                  <w:r>
                    <w:rPr>
                      <w:rFonts w:hint="eastAsia"/>
                      <w:bCs/>
                      <w:kern w:val="2"/>
                    </w:rPr>
                    <w:t>一、破碎系统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1</w:t>
                  </w:r>
                </w:p>
              </w:tc>
              <w:tc>
                <w:tcPr>
                  <w:tcW w:w="2263" w:type="dxa"/>
                  <w:gridSpan w:val="2"/>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原料上料斗</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3m</w:t>
                  </w:r>
                  <w:r>
                    <w:rPr>
                      <w:rFonts w:hint="eastAsia"/>
                      <w:kern w:val="2"/>
                      <w:vertAlign w:val="superscript"/>
                    </w:rPr>
                    <w:t>3</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含喂料机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2</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螺旋洗矿机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FG7500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3</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分筛机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ZW1.5-4</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4</w:t>
                  </w:r>
                </w:p>
              </w:tc>
              <w:tc>
                <w:tcPr>
                  <w:tcW w:w="2263" w:type="dxa"/>
                  <w:gridSpan w:val="2"/>
                  <w:tcBorders>
                    <w:left w:val="single" w:color="000000" w:sz="4" w:space="0"/>
                    <w:right w:val="single" w:color="000000" w:sz="4" w:space="0"/>
                  </w:tcBorders>
                  <w:vAlign w:val="center"/>
                </w:tcPr>
                <w:p>
                  <w:pPr>
                    <w:pStyle w:val="50"/>
                    <w:jc w:val="center"/>
                    <w:rPr>
                      <w:rFonts w:hint="eastAsia" w:eastAsia="宋体"/>
                      <w:kern w:val="2"/>
                      <w:lang w:val="en-US" w:eastAsia="zh-CN"/>
                    </w:rPr>
                  </w:pPr>
                  <w:r>
                    <w:rPr>
                      <w:rFonts w:hint="eastAsia"/>
                      <w:kern w:val="2"/>
                      <w:lang w:val="en-US" w:eastAsia="zh-CN"/>
                    </w:rPr>
                    <w:t>原矿石粉碎机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JR1000-600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5</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分筛机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ZW1.5-3.5</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6</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水轮</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ZW1.5-3</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7</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脱水筛</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CH2-3</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8</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回收机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CH1500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9</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皮带输送机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B650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8台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10</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皮带输送机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B1000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11</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铲车</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厦工956</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4台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12</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刮料回收机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ZW1.8-8</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935" w:type="dxa"/>
                  <w:gridSpan w:val="8"/>
                  <w:tcBorders>
                    <w:left w:val="single" w:color="000000" w:sz="4" w:space="0"/>
                    <w:right w:val="single" w:color="000000" w:sz="4" w:space="0"/>
                  </w:tcBorders>
                  <w:vAlign w:val="center"/>
                </w:tcPr>
                <w:p>
                  <w:pPr>
                    <w:pStyle w:val="50"/>
                    <w:jc w:val="left"/>
                    <w:rPr>
                      <w:kern w:val="2"/>
                    </w:rPr>
                  </w:pPr>
                  <w:r>
                    <w:rPr>
                      <w:rFonts w:hint="eastAsia"/>
                      <w:kern w:val="2"/>
                    </w:rPr>
                    <w:t>二、球磨系统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1</w:t>
                  </w:r>
                </w:p>
              </w:tc>
              <w:tc>
                <w:tcPr>
                  <w:tcW w:w="2263" w:type="dxa"/>
                  <w:gridSpan w:val="2"/>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破碎料上料斗</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3m</w:t>
                  </w:r>
                  <w:r>
                    <w:rPr>
                      <w:rFonts w:hint="eastAsia"/>
                      <w:kern w:val="2"/>
                      <w:vertAlign w:val="superscript"/>
                    </w:rPr>
                    <w:t>3</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含喂料机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2</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球磨机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ZD2.1-9.5</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3</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球磨机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ZD2.2-7</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4</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分级机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ZD1.8-12</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5</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螺旋输送机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ZW800-8</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6</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圆形分筛机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JP1000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14台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7</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永磁机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ZW600-2</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8</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滚筛机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ZW1-2</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9</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电磁机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ZT1000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6台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10</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lang w:val="en-US" w:eastAsia="zh-CN"/>
                    </w:rPr>
                    <w:t>带</w:t>
                  </w:r>
                  <w:r>
                    <w:rPr>
                      <w:rFonts w:hint="eastAsia"/>
                      <w:kern w:val="2"/>
                    </w:rPr>
                    <w:t>式脱水机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HP40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right w:val="single" w:color="000000" w:sz="4" w:space="0"/>
                  </w:tcBorders>
                  <w:vAlign w:val="center"/>
                </w:tcPr>
                <w:p>
                  <w:pPr>
                    <w:pStyle w:val="50"/>
                    <w:jc w:val="center"/>
                    <w:rPr>
                      <w:kern w:val="2"/>
                    </w:rPr>
                  </w:pPr>
                  <w:r>
                    <w:rPr>
                      <w:rFonts w:hint="eastAsia"/>
                      <w:kern w:val="2"/>
                    </w:rPr>
                    <w:t>11</w:t>
                  </w:r>
                </w:p>
              </w:tc>
              <w:tc>
                <w:tcPr>
                  <w:tcW w:w="2263" w:type="dxa"/>
                  <w:gridSpan w:val="2"/>
                  <w:tcBorders>
                    <w:left w:val="single" w:color="000000" w:sz="4" w:space="0"/>
                    <w:right w:val="single" w:color="000000" w:sz="4" w:space="0"/>
                  </w:tcBorders>
                  <w:vAlign w:val="center"/>
                </w:tcPr>
                <w:p>
                  <w:pPr>
                    <w:pStyle w:val="50"/>
                    <w:jc w:val="center"/>
                    <w:rPr>
                      <w:kern w:val="2"/>
                    </w:rPr>
                  </w:pPr>
                  <w:r>
                    <w:rPr>
                      <w:rFonts w:hint="eastAsia"/>
                      <w:kern w:val="2"/>
                    </w:rPr>
                    <w:t>搅拌机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JP3-4</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5台</w:t>
                  </w:r>
                </w:p>
              </w:tc>
              <w:tc>
                <w:tcPr>
                  <w:tcW w:w="1765" w:type="dxa"/>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935" w:type="dxa"/>
                  <w:gridSpan w:val="8"/>
                  <w:tcBorders>
                    <w:left w:val="single" w:color="000000" w:sz="4" w:space="0"/>
                    <w:right w:val="single" w:color="000000" w:sz="4" w:space="0"/>
                  </w:tcBorders>
                  <w:vAlign w:val="center"/>
                </w:tcPr>
                <w:p>
                  <w:pPr>
                    <w:pStyle w:val="50"/>
                    <w:jc w:val="left"/>
                    <w:rPr>
                      <w:kern w:val="2"/>
                    </w:rPr>
                  </w:pPr>
                  <w:r>
                    <w:rPr>
                      <w:rFonts w:hint="eastAsia"/>
                      <w:kern w:val="2"/>
                    </w:rPr>
                    <w:t>三、烘干系统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1</w:t>
                  </w:r>
                </w:p>
              </w:tc>
              <w:tc>
                <w:tcPr>
                  <w:tcW w:w="2251" w:type="dxa"/>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半成品上料斗</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pPr>
                  <w:r>
                    <w:rPr>
                      <w:rFonts w:hint="eastAsia"/>
                      <w:kern w:val="2"/>
                    </w:rPr>
                    <w:t>3m</w:t>
                  </w:r>
                  <w:r>
                    <w:rPr>
                      <w:rFonts w:hint="eastAsia"/>
                      <w:kern w:val="2"/>
                      <w:vertAlign w:val="superscript"/>
                    </w:rPr>
                    <w:t>3</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含喂料机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bottom w:val="single" w:color="000000" w:sz="4" w:space="0"/>
                    <w:right w:val="single" w:color="000000" w:sz="4" w:space="0"/>
                  </w:tcBorders>
                  <w:vAlign w:val="center"/>
                </w:tcPr>
                <w:p>
                  <w:pPr>
                    <w:pStyle w:val="50"/>
                    <w:jc w:val="center"/>
                    <w:rPr>
                      <w:rFonts w:hint="eastAsia" w:eastAsia="宋体"/>
                      <w:kern w:val="2"/>
                      <w:lang w:eastAsia="zh-CN"/>
                    </w:rPr>
                  </w:pPr>
                  <w:r>
                    <w:rPr>
                      <w:rFonts w:hint="eastAsia"/>
                      <w:kern w:val="2"/>
                      <w:lang w:val="en-US" w:eastAsia="zh-CN"/>
                    </w:rPr>
                    <w:t>2</w:t>
                  </w:r>
                </w:p>
              </w:tc>
              <w:tc>
                <w:tcPr>
                  <w:tcW w:w="2251" w:type="dxa"/>
                  <w:tcBorders>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烘干机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pPr>
                  <w:r>
                    <w:rPr>
                      <w:rFonts w:hint="eastAsia"/>
                    </w:rPr>
                    <w:t>YF2-18</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right w:val="single" w:color="000000" w:sz="4" w:space="0"/>
                  </w:tcBorders>
                  <w:vAlign w:val="center"/>
                </w:tcPr>
                <w:p>
                  <w:pPr>
                    <w:pStyle w:val="50"/>
                    <w:jc w:val="center"/>
                    <w:rPr>
                      <w:rFonts w:hint="eastAsia" w:eastAsia="宋体"/>
                      <w:kern w:val="2"/>
                      <w:lang w:eastAsia="zh-CN"/>
                    </w:rPr>
                  </w:pPr>
                  <w:r>
                    <w:rPr>
                      <w:rFonts w:hint="eastAsia"/>
                      <w:kern w:val="2"/>
                      <w:lang w:val="en-US" w:eastAsia="zh-CN"/>
                    </w:rPr>
                    <w:t>3</w:t>
                  </w:r>
                </w:p>
              </w:tc>
              <w:tc>
                <w:tcPr>
                  <w:tcW w:w="2251" w:type="dxa"/>
                  <w:tcBorders>
                    <w:top w:val="single" w:color="000000" w:sz="4" w:space="0"/>
                    <w:left w:val="single" w:color="000000" w:sz="4" w:space="0"/>
                    <w:right w:val="single" w:color="000000" w:sz="4" w:space="0"/>
                  </w:tcBorders>
                  <w:vAlign w:val="center"/>
                </w:tcPr>
                <w:p>
                  <w:pPr>
                    <w:pStyle w:val="50"/>
                    <w:jc w:val="center"/>
                    <w:rPr>
                      <w:kern w:val="2"/>
                    </w:rPr>
                  </w:pPr>
                  <w:r>
                    <w:rPr>
                      <w:rFonts w:hint="eastAsia"/>
                      <w:kern w:val="2"/>
                    </w:rPr>
                    <w:t>提升机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pPr>
                  <w:r>
                    <w:rPr>
                      <w:rFonts w:hint="eastAsia"/>
                    </w:rPr>
                    <w:t>YF800-12</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3台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left w:val="single" w:color="000000" w:sz="4" w:space="0"/>
                    <w:bottom w:val="single" w:color="000000" w:sz="4" w:space="0"/>
                    <w:right w:val="single" w:color="000000" w:sz="4" w:space="0"/>
                  </w:tcBorders>
                  <w:vAlign w:val="center"/>
                </w:tcPr>
                <w:p>
                  <w:pPr>
                    <w:pStyle w:val="50"/>
                    <w:jc w:val="center"/>
                    <w:rPr>
                      <w:rFonts w:hint="eastAsia" w:eastAsia="宋体"/>
                      <w:kern w:val="2"/>
                      <w:lang w:eastAsia="zh-CN"/>
                    </w:rPr>
                  </w:pPr>
                  <w:r>
                    <w:rPr>
                      <w:rFonts w:hint="eastAsia"/>
                      <w:kern w:val="2"/>
                      <w:lang w:val="en-US" w:eastAsia="zh-CN"/>
                    </w:rPr>
                    <w:t>4</w:t>
                  </w:r>
                </w:p>
              </w:tc>
              <w:tc>
                <w:tcPr>
                  <w:tcW w:w="2251" w:type="dxa"/>
                  <w:tcBorders>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选粉机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pPr>
                  <w:r>
                    <w:rPr>
                      <w:rFonts w:hint="eastAsia"/>
                    </w:rPr>
                    <w:t>YF600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szCs w:val="21"/>
                      <w:lang w:eastAsia="zh-CN"/>
                    </w:rPr>
                  </w:pPr>
                  <w:r>
                    <w:rPr>
                      <w:rFonts w:hint="eastAsia"/>
                      <w:szCs w:val="21"/>
                      <w:lang w:val="en-US" w:eastAsia="zh-CN"/>
                    </w:rPr>
                    <w:t>5</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b/>
                      <w:bCs/>
                      <w:szCs w:val="21"/>
                      <w:u w:val="single"/>
                    </w:rPr>
                  </w:pPr>
                  <w:r>
                    <w:rPr>
                      <w:rFonts w:hint="eastAsia"/>
                      <w:szCs w:val="21"/>
                    </w:rPr>
                    <w:t>螺旋输送机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pPr>
                  <w:r>
                    <w:rPr>
                      <w:rFonts w:hint="eastAsia"/>
                    </w:rPr>
                    <w:t>ZW300-5</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6台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szCs w:val="21"/>
                      <w:lang w:eastAsia="zh-CN"/>
                    </w:rPr>
                  </w:pPr>
                  <w:r>
                    <w:rPr>
                      <w:rFonts w:hint="eastAsia"/>
                      <w:szCs w:val="21"/>
                      <w:lang w:val="en-US" w:eastAsia="zh-CN"/>
                    </w:rPr>
                    <w:t>6</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bCs/>
                      <w:szCs w:val="21"/>
                    </w:rPr>
                  </w:pPr>
                  <w:r>
                    <w:rPr>
                      <w:rFonts w:hint="eastAsia"/>
                      <w:bCs/>
                      <w:szCs w:val="21"/>
                    </w:rPr>
                    <w:t>成品储料仓</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bCs/>
                      <w:szCs w:val="21"/>
                    </w:rPr>
                  </w:pPr>
                  <w:r>
                    <w:rPr>
                      <w:rFonts w:hint="eastAsia"/>
                      <w:bCs/>
                      <w:szCs w:val="21"/>
                    </w:rPr>
                    <w:t>YF3.3-9</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bCs/>
                      <w:kern w:val="2"/>
                    </w:rPr>
                  </w:pPr>
                  <w:r>
                    <w:rPr>
                      <w:rFonts w:hint="eastAsia"/>
                      <w:bCs/>
                      <w:kern w:val="2"/>
                    </w:rPr>
                    <w:t>3台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bCs/>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szCs w:val="21"/>
                      <w:lang w:eastAsia="zh-CN"/>
                    </w:rPr>
                  </w:pPr>
                  <w:r>
                    <w:rPr>
                      <w:rFonts w:hint="eastAsia"/>
                      <w:szCs w:val="21"/>
                      <w:lang w:val="en-US" w:eastAsia="zh-CN"/>
                    </w:rPr>
                    <w:t>7</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自动打包机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JC1000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3台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eastAsia="宋体"/>
                      <w:szCs w:val="21"/>
                      <w:lang w:eastAsia="zh-CN"/>
                    </w:rPr>
                  </w:pPr>
                  <w:r>
                    <w:rPr>
                      <w:rFonts w:hint="eastAsia"/>
                      <w:szCs w:val="21"/>
                      <w:lang w:val="en-US" w:eastAsia="zh-CN"/>
                    </w:rPr>
                    <w:t>8</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码垛机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YF50-1000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2套</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935" w:type="dxa"/>
                  <w:gridSpan w:val="8"/>
                  <w:tcBorders>
                    <w:top w:val="single" w:color="000000" w:sz="4" w:space="0"/>
                    <w:left w:val="single" w:color="000000" w:sz="4" w:space="0"/>
                    <w:bottom w:val="single" w:color="000000" w:sz="4" w:space="0"/>
                    <w:right w:val="single" w:color="000000" w:sz="4" w:space="0"/>
                  </w:tcBorders>
                  <w:vAlign w:val="center"/>
                </w:tcPr>
                <w:p>
                  <w:pPr>
                    <w:pStyle w:val="50"/>
                    <w:jc w:val="left"/>
                    <w:rPr>
                      <w:kern w:val="2"/>
                    </w:rPr>
                  </w:pPr>
                  <w:r>
                    <w:rPr>
                      <w:rFonts w:hint="eastAsia"/>
                      <w:kern w:val="2"/>
                    </w:rPr>
                    <w:t>四、压</w:t>
                  </w:r>
                  <w:r>
                    <w:rPr>
                      <w:rFonts w:hint="eastAsia"/>
                      <w:kern w:val="2"/>
                      <w:lang w:val="en-US" w:eastAsia="zh-CN"/>
                    </w:rPr>
                    <w:t>滤</w:t>
                  </w:r>
                  <w:r>
                    <w:rPr>
                      <w:rFonts w:hint="eastAsia"/>
                      <w:kern w:val="2"/>
                    </w:rPr>
                    <w:t>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1</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砂浆泵</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YZ-11</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18台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2</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浓缩罐</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JS9-11</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3</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浓缩罐</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JS11-13</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4</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皮带输送机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B650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6台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5</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lang w:val="en-US" w:eastAsia="zh-CN"/>
                    </w:rPr>
                    <w:t>带</w:t>
                  </w:r>
                  <w:r>
                    <w:rPr>
                      <w:rFonts w:hint="eastAsia"/>
                      <w:szCs w:val="21"/>
                    </w:rPr>
                    <w:t>式脱水机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HP5</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6</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板框压</w:t>
                  </w:r>
                  <w:r>
                    <w:rPr>
                      <w:rFonts w:hint="eastAsia"/>
                      <w:szCs w:val="21"/>
                      <w:lang w:val="en-US" w:eastAsia="zh-CN"/>
                    </w:rPr>
                    <w:t>滤</w:t>
                  </w:r>
                  <w:r>
                    <w:rPr>
                      <w:rFonts w:hint="eastAsia"/>
                      <w:szCs w:val="21"/>
                    </w:rPr>
                    <w:t>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DZ500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2台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含抽浆泵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7</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板框压</w:t>
                  </w:r>
                  <w:r>
                    <w:rPr>
                      <w:rFonts w:hint="eastAsia"/>
                      <w:szCs w:val="21"/>
                      <w:lang w:val="en-US" w:eastAsia="zh-CN"/>
                    </w:rPr>
                    <w:t>滤</w:t>
                  </w:r>
                  <w:r>
                    <w:rPr>
                      <w:rFonts w:hint="eastAsia"/>
                      <w:szCs w:val="21"/>
                    </w:rPr>
                    <w:t>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DZ250</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含抽浆泵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8</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螺杆空压机</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DZ-22</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3台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935" w:type="dxa"/>
                  <w:gridSpan w:val="8"/>
                  <w:tcBorders>
                    <w:top w:val="single" w:color="000000" w:sz="4" w:space="0"/>
                    <w:left w:val="single" w:color="000000" w:sz="4" w:space="0"/>
                    <w:bottom w:val="single" w:color="000000" w:sz="4" w:space="0"/>
                    <w:right w:val="single" w:color="000000" w:sz="4" w:space="0"/>
                  </w:tcBorders>
                  <w:vAlign w:val="center"/>
                </w:tcPr>
                <w:p>
                  <w:pPr>
                    <w:pStyle w:val="50"/>
                    <w:jc w:val="left"/>
                    <w:rPr>
                      <w:kern w:val="2"/>
                    </w:rPr>
                  </w:pPr>
                  <w:r>
                    <w:rPr>
                      <w:rFonts w:hint="eastAsia"/>
                      <w:kern w:val="2"/>
                    </w:rPr>
                    <w:t>五、其他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1</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叉车</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厦工3T</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3台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2</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叉车</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合工4.5T</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1台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8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3</w:t>
                  </w:r>
                </w:p>
              </w:tc>
              <w:tc>
                <w:tcPr>
                  <w:tcW w:w="2251"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水泵</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QSB-22</w:t>
                  </w:r>
                </w:p>
              </w:tc>
              <w:tc>
                <w:tcPr>
                  <w:tcW w:w="132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r>
                    <w:rPr>
                      <w:rFonts w:hint="eastAsia"/>
                      <w:kern w:val="2"/>
                    </w:rPr>
                    <w:t>5台</w:t>
                  </w:r>
                </w:p>
              </w:tc>
              <w:tc>
                <w:tcPr>
                  <w:tcW w:w="1777" w:type="dxa"/>
                  <w:gridSpan w:val="2"/>
                  <w:tcBorders>
                    <w:top w:val="single" w:color="000000" w:sz="4" w:space="0"/>
                    <w:left w:val="single" w:color="000000" w:sz="4" w:space="0"/>
                    <w:bottom w:val="single" w:color="000000" w:sz="4" w:space="0"/>
                    <w:right w:val="single" w:color="000000" w:sz="4" w:space="0"/>
                  </w:tcBorders>
                  <w:vAlign w:val="center"/>
                </w:tcPr>
                <w:p>
                  <w:pPr>
                    <w:pStyle w:val="50"/>
                    <w:jc w:val="center"/>
                    <w:rPr>
                      <w:kern w:val="2"/>
                    </w:rPr>
                  </w:pPr>
                </w:p>
              </w:tc>
            </w:tr>
          </w:tbl>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根据《产业结构指导目录（2019年本）》</w:t>
            </w:r>
            <w:r>
              <w:rPr>
                <w:rFonts w:hint="eastAsia" w:cs="宋体"/>
                <w:kern w:val="0"/>
                <w:sz w:val="24"/>
                <w:lang w:val="en-US" w:eastAsia="zh-CN"/>
              </w:rPr>
              <w:t>和</w:t>
            </w:r>
            <w:r>
              <w:rPr>
                <w:rFonts w:hint="eastAsia" w:cs="宋体"/>
                <w:b/>
                <w:bCs/>
                <w:kern w:val="0"/>
                <w:sz w:val="24"/>
                <w:u w:val="single"/>
                <w:lang w:val="en-US" w:eastAsia="zh-CN"/>
              </w:rPr>
              <w:t>《建设项目环境影响评价分类管理名录》（2021年版）</w:t>
            </w:r>
            <w:r>
              <w:rPr>
                <w:rFonts w:hint="eastAsia" w:cs="宋体"/>
                <w:kern w:val="0"/>
                <w:sz w:val="24"/>
              </w:rPr>
              <w:t>及《河南省部分工业行业淘汰落后生产工艺装备和产品目录（2019年）》可知，本项目使用设备无限制类、淘汰类。</w:t>
            </w:r>
          </w:p>
          <w:p>
            <w:pPr>
              <w:autoSpaceDE w:val="0"/>
              <w:autoSpaceDN w:val="0"/>
              <w:adjustRightInd w:val="0"/>
              <w:snapToGrid w:val="0"/>
              <w:spacing w:line="360" w:lineRule="auto"/>
              <w:ind w:firstLine="482" w:firstLineChars="200"/>
              <w:rPr>
                <w:rFonts w:hint="eastAsia" w:cs="宋体"/>
                <w:b/>
                <w:bCs/>
                <w:kern w:val="0"/>
                <w:sz w:val="24"/>
                <w:u w:val="single"/>
              </w:rPr>
            </w:pPr>
            <w:r>
              <w:rPr>
                <w:rFonts w:hint="eastAsia" w:cs="宋体"/>
                <w:b/>
                <w:bCs/>
                <w:kern w:val="0"/>
                <w:sz w:val="24"/>
                <w:u w:val="single"/>
              </w:rPr>
              <w:t>根据国家和河南省有关环保法规及建设项目管理的规定和要求，本</w:t>
            </w:r>
            <w:r>
              <w:rPr>
                <w:rFonts w:hint="eastAsia" w:cs="宋体"/>
                <w:b/>
                <w:bCs/>
                <w:kern w:val="0"/>
                <w:sz w:val="24"/>
                <w:u w:val="single"/>
                <w:lang w:val="en-US" w:eastAsia="zh-CN"/>
              </w:rPr>
              <w:t>项目</w:t>
            </w:r>
            <w:r>
              <w:rPr>
                <w:rFonts w:hint="eastAsia" w:cs="宋体"/>
                <w:b/>
                <w:bCs/>
                <w:kern w:val="0"/>
                <w:sz w:val="24"/>
                <w:u w:val="single"/>
              </w:rPr>
              <w:t>应进行环境影响评价。本项目为其他非金属矿物制品制造，依据《建设项目环境影响评价分类管理名录》</w:t>
            </w:r>
            <w:r>
              <w:rPr>
                <w:rFonts w:hint="eastAsia" w:cs="宋体"/>
                <w:b/>
                <w:bCs/>
                <w:kern w:val="0"/>
                <w:sz w:val="24"/>
                <w:u w:val="single"/>
                <w:lang w:eastAsia="zh-CN"/>
              </w:rPr>
              <w:t>（</w:t>
            </w:r>
            <w:r>
              <w:rPr>
                <w:rFonts w:hint="eastAsia" w:cs="宋体"/>
                <w:b/>
                <w:bCs/>
                <w:kern w:val="0"/>
                <w:sz w:val="24"/>
                <w:u w:val="single"/>
                <w:lang w:val="en-US" w:eastAsia="zh-CN"/>
              </w:rPr>
              <w:t>2021年版</w:t>
            </w:r>
            <w:r>
              <w:rPr>
                <w:rFonts w:hint="eastAsia" w:cs="宋体"/>
                <w:b/>
                <w:bCs/>
                <w:kern w:val="0"/>
                <w:sz w:val="24"/>
                <w:u w:val="single"/>
                <w:lang w:eastAsia="zh-CN"/>
              </w:rPr>
              <w:t>）</w:t>
            </w:r>
            <w:r>
              <w:rPr>
                <w:rFonts w:hint="eastAsia" w:cs="宋体"/>
                <w:b/>
                <w:bCs/>
                <w:kern w:val="0"/>
                <w:sz w:val="24"/>
                <w:u w:val="single"/>
              </w:rPr>
              <w:t>，项目属于“二十七、非金属矿物制品业30</w:t>
            </w:r>
            <w:r>
              <w:rPr>
                <w:rFonts w:hint="eastAsia" w:cs="宋体"/>
                <w:b/>
                <w:bCs/>
                <w:kern w:val="0"/>
                <w:sz w:val="24"/>
                <w:u w:val="single"/>
                <w:lang w:val="en-US" w:eastAsia="zh-CN"/>
              </w:rPr>
              <w:t xml:space="preserve"> </w:t>
            </w:r>
            <w:r>
              <w:rPr>
                <w:rFonts w:hint="eastAsia" w:cs="宋体"/>
                <w:b/>
                <w:bCs/>
                <w:kern w:val="0"/>
                <w:sz w:val="24"/>
                <w:u w:val="single"/>
              </w:rPr>
              <w:t>60耐火材料制品制造308；石墨及其他非金属矿物制品制造309</w:t>
            </w:r>
            <w:r>
              <w:rPr>
                <w:rFonts w:hint="eastAsia" w:cs="宋体"/>
                <w:b/>
                <w:bCs/>
                <w:kern w:val="0"/>
                <w:sz w:val="24"/>
                <w:u w:val="single"/>
                <w:lang w:eastAsia="zh-CN"/>
              </w:rPr>
              <w:t>”</w:t>
            </w:r>
            <w:r>
              <w:rPr>
                <w:rFonts w:hint="eastAsia" w:cs="宋体"/>
                <w:b/>
                <w:bCs/>
                <w:kern w:val="0"/>
                <w:sz w:val="24"/>
                <w:u w:val="single"/>
                <w:lang w:val="en-US" w:eastAsia="zh-CN"/>
              </w:rPr>
              <w:t>中“</w:t>
            </w:r>
            <w:r>
              <w:rPr>
                <w:rFonts w:hint="eastAsia" w:cs="宋体"/>
                <w:b/>
                <w:bCs/>
                <w:kern w:val="0"/>
                <w:sz w:val="24"/>
                <w:u w:val="single"/>
              </w:rPr>
              <w:t>其他</w:t>
            </w:r>
            <w:r>
              <w:rPr>
                <w:rFonts w:hint="eastAsia" w:cs="宋体"/>
                <w:b/>
                <w:bCs/>
                <w:kern w:val="0"/>
                <w:sz w:val="24"/>
                <w:u w:val="single"/>
                <w:lang w:eastAsia="zh-CN"/>
              </w:rPr>
              <w:t>”</w:t>
            </w:r>
            <w:r>
              <w:rPr>
                <w:rFonts w:hint="eastAsia" w:cs="宋体"/>
                <w:b/>
                <w:bCs/>
                <w:kern w:val="0"/>
                <w:sz w:val="24"/>
                <w:u w:val="single"/>
              </w:rPr>
              <w:t>，属报告表编制范畴，应编制环境影响评价报告表。受建设单位的委托，我公司承担了本</w:t>
            </w:r>
            <w:r>
              <w:rPr>
                <w:rFonts w:hint="eastAsia" w:cs="宋体"/>
                <w:b/>
                <w:bCs/>
                <w:kern w:val="0"/>
                <w:sz w:val="24"/>
                <w:u w:val="single"/>
                <w:lang w:val="en-US" w:eastAsia="zh-CN"/>
              </w:rPr>
              <w:t>项目</w:t>
            </w:r>
            <w:r>
              <w:rPr>
                <w:rFonts w:hint="eastAsia" w:cs="宋体"/>
                <w:b/>
                <w:bCs/>
                <w:kern w:val="0"/>
                <w:sz w:val="24"/>
                <w:u w:val="single"/>
              </w:rPr>
              <w:t>的环境影响评价工作。我公司在拟建地实地踏勘、收集项目相关资料和向环保管理部门汇报的基础上，编制了本</w:t>
            </w:r>
            <w:r>
              <w:rPr>
                <w:rFonts w:hint="eastAsia" w:cs="宋体"/>
                <w:b/>
                <w:bCs/>
                <w:kern w:val="0"/>
                <w:sz w:val="24"/>
                <w:u w:val="single"/>
                <w:lang w:val="en-US" w:eastAsia="zh-CN"/>
              </w:rPr>
              <w:t>项目</w:t>
            </w:r>
            <w:r>
              <w:rPr>
                <w:rFonts w:hint="eastAsia" w:cs="宋体"/>
                <w:b/>
                <w:bCs/>
                <w:kern w:val="0"/>
                <w:sz w:val="24"/>
                <w:u w:val="single"/>
              </w:rPr>
              <w:t>环境影响报告表，以作为管理部门决策参考。</w:t>
            </w:r>
          </w:p>
          <w:p>
            <w:pPr>
              <w:autoSpaceDE w:val="0"/>
              <w:autoSpaceDN w:val="0"/>
              <w:adjustRightInd w:val="0"/>
              <w:snapToGrid w:val="0"/>
              <w:spacing w:before="120" w:beforeLines="50" w:line="360" w:lineRule="auto"/>
              <w:ind w:firstLine="482" w:firstLineChars="200"/>
              <w:rPr>
                <w:rFonts w:cs="宋体"/>
                <w:b/>
                <w:bCs/>
                <w:kern w:val="0"/>
                <w:sz w:val="24"/>
              </w:rPr>
            </w:pPr>
            <w:r>
              <w:rPr>
                <w:rFonts w:hint="eastAsia" w:cs="宋体"/>
                <w:b/>
                <w:bCs/>
                <w:kern w:val="0"/>
                <w:sz w:val="24"/>
              </w:rPr>
              <w:t>4 主要原辅材料及能源消耗</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本项目原辅材料及能源消耗情况见表2-4。</w:t>
            </w:r>
          </w:p>
          <w:p>
            <w:pPr>
              <w:pStyle w:val="44"/>
              <w:spacing w:line="360" w:lineRule="auto"/>
              <w:rPr>
                <w:rFonts w:eastAsia="宋体"/>
                <w:sz w:val="24"/>
                <w:szCs w:val="24"/>
              </w:rPr>
            </w:pPr>
            <w:r>
              <w:rPr>
                <w:rFonts w:hint="eastAsia" w:eastAsia="宋体"/>
                <w:sz w:val="24"/>
                <w:szCs w:val="24"/>
              </w:rPr>
              <w:t>表2-4    项目原辅材料及能源消耗情况一览表</w:t>
            </w:r>
          </w:p>
          <w:tbl>
            <w:tblPr>
              <w:tblStyle w:val="26"/>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509"/>
              <w:gridCol w:w="1657"/>
              <w:gridCol w:w="1694"/>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59"/>
                    <w:spacing w:line="240" w:lineRule="auto"/>
                    <w:rPr>
                      <w:b/>
                      <w:bCs/>
                      <w:color w:val="000000"/>
                      <w:kern w:val="2"/>
                    </w:rPr>
                  </w:pPr>
                  <w:r>
                    <w:rPr>
                      <w:b/>
                      <w:bCs/>
                      <w:color w:val="000000"/>
                      <w:kern w:val="2"/>
                    </w:rPr>
                    <w:t>序号</w:t>
                  </w:r>
                </w:p>
              </w:tc>
              <w:tc>
                <w:tcPr>
                  <w:tcW w:w="1509" w:type="dxa"/>
                  <w:vAlign w:val="center"/>
                </w:tcPr>
                <w:p>
                  <w:pPr>
                    <w:pStyle w:val="59"/>
                    <w:spacing w:line="240" w:lineRule="auto"/>
                    <w:rPr>
                      <w:b/>
                      <w:bCs/>
                      <w:color w:val="000000"/>
                      <w:kern w:val="2"/>
                    </w:rPr>
                  </w:pPr>
                  <w:r>
                    <w:rPr>
                      <w:b/>
                      <w:bCs/>
                      <w:color w:val="000000"/>
                      <w:kern w:val="2"/>
                    </w:rPr>
                    <w:t>名称</w:t>
                  </w:r>
                </w:p>
              </w:tc>
              <w:tc>
                <w:tcPr>
                  <w:tcW w:w="1657" w:type="dxa"/>
                  <w:vAlign w:val="center"/>
                </w:tcPr>
                <w:p>
                  <w:pPr>
                    <w:pStyle w:val="59"/>
                    <w:spacing w:line="240" w:lineRule="auto"/>
                    <w:rPr>
                      <w:b/>
                      <w:bCs/>
                      <w:color w:val="000000"/>
                      <w:kern w:val="2"/>
                    </w:rPr>
                  </w:pPr>
                  <w:r>
                    <w:rPr>
                      <w:rFonts w:hint="eastAsia"/>
                      <w:b/>
                      <w:bCs/>
                      <w:color w:val="000000"/>
                      <w:kern w:val="2"/>
                    </w:rPr>
                    <w:t>规格</w:t>
                  </w:r>
                </w:p>
              </w:tc>
              <w:tc>
                <w:tcPr>
                  <w:tcW w:w="1694" w:type="dxa"/>
                  <w:vAlign w:val="center"/>
                </w:tcPr>
                <w:p>
                  <w:pPr>
                    <w:pStyle w:val="59"/>
                    <w:spacing w:line="240" w:lineRule="auto"/>
                    <w:rPr>
                      <w:b/>
                      <w:bCs/>
                      <w:color w:val="000000"/>
                      <w:kern w:val="2"/>
                    </w:rPr>
                  </w:pPr>
                  <w:r>
                    <w:rPr>
                      <w:b/>
                      <w:bCs/>
                      <w:color w:val="000000"/>
                      <w:kern w:val="2"/>
                    </w:rPr>
                    <w:t>年消耗量(t/a)</w:t>
                  </w:r>
                </w:p>
              </w:tc>
              <w:tc>
                <w:tcPr>
                  <w:tcW w:w="2300" w:type="dxa"/>
                  <w:vAlign w:val="center"/>
                </w:tcPr>
                <w:p>
                  <w:pPr>
                    <w:pStyle w:val="59"/>
                    <w:spacing w:line="240" w:lineRule="auto"/>
                    <w:rPr>
                      <w:b/>
                      <w:bCs/>
                      <w:color w:val="000000"/>
                      <w:kern w:val="2"/>
                    </w:rPr>
                  </w:pPr>
                  <w:r>
                    <w:rPr>
                      <w:rFonts w:hint="eastAsia"/>
                      <w:b/>
                      <w:bCs/>
                      <w:color w:val="000000"/>
                      <w:kern w:val="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1</w:t>
                  </w:r>
                </w:p>
              </w:tc>
              <w:tc>
                <w:tcPr>
                  <w:tcW w:w="1509" w:type="dxa"/>
                  <w:vAlign w:val="center"/>
                </w:tcPr>
                <w:p>
                  <w:pPr>
                    <w:pStyle w:val="59"/>
                    <w:spacing w:line="240" w:lineRule="auto"/>
                    <w:rPr>
                      <w:color w:val="000000"/>
                      <w:kern w:val="2"/>
                    </w:rPr>
                  </w:pPr>
                  <w:r>
                    <w:rPr>
                      <w:rFonts w:hint="eastAsia"/>
                      <w:color w:val="000000"/>
                      <w:kern w:val="2"/>
                    </w:rPr>
                    <w:t>钾长石</w:t>
                  </w:r>
                </w:p>
              </w:tc>
              <w:tc>
                <w:tcPr>
                  <w:tcW w:w="1657" w:type="dxa"/>
                  <w:vAlign w:val="center"/>
                </w:tcPr>
                <w:p>
                  <w:pPr>
                    <w:adjustRightInd w:val="0"/>
                    <w:snapToGrid w:val="0"/>
                    <w:jc w:val="center"/>
                    <w:rPr>
                      <w:color w:val="000000"/>
                      <w:szCs w:val="21"/>
                    </w:rPr>
                  </w:pPr>
                  <w:r>
                    <w:rPr>
                      <w:rFonts w:hint="eastAsia"/>
                      <w:color w:val="000000"/>
                      <w:szCs w:val="21"/>
                    </w:rPr>
                    <w:t>20~30mm</w:t>
                  </w:r>
                </w:p>
              </w:tc>
              <w:tc>
                <w:tcPr>
                  <w:tcW w:w="1694" w:type="dxa"/>
                  <w:vAlign w:val="center"/>
                </w:tcPr>
                <w:p>
                  <w:pPr>
                    <w:pStyle w:val="59"/>
                    <w:spacing w:line="240" w:lineRule="auto"/>
                    <w:rPr>
                      <w:rFonts w:hint="default" w:eastAsia="宋体"/>
                      <w:b/>
                      <w:bCs/>
                      <w:kern w:val="2"/>
                      <w:u w:val="single"/>
                      <w:lang w:val="en-US" w:eastAsia="zh-CN"/>
                    </w:rPr>
                  </w:pPr>
                  <w:r>
                    <w:rPr>
                      <w:rFonts w:hint="eastAsia"/>
                      <w:b/>
                      <w:bCs/>
                      <w:kern w:val="2"/>
                      <w:u w:val="single"/>
                      <w:lang w:val="en-US" w:eastAsia="zh-CN"/>
                    </w:rPr>
                    <w:t>37715.22</w:t>
                  </w:r>
                </w:p>
              </w:tc>
              <w:tc>
                <w:tcPr>
                  <w:tcW w:w="2300" w:type="dxa"/>
                  <w:vAlign w:val="center"/>
                </w:tcPr>
                <w:p>
                  <w:pPr>
                    <w:pStyle w:val="59"/>
                    <w:spacing w:line="240" w:lineRule="auto"/>
                    <w:rPr>
                      <w:color w:val="000000"/>
                      <w:kern w:val="2"/>
                    </w:rPr>
                  </w:pPr>
                  <w:r>
                    <w:rPr>
                      <w:rFonts w:hint="eastAsia"/>
                      <w:color w:val="000000"/>
                      <w:kern w:val="2"/>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2</w:t>
                  </w:r>
                </w:p>
              </w:tc>
              <w:tc>
                <w:tcPr>
                  <w:tcW w:w="1509" w:type="dxa"/>
                  <w:vAlign w:val="center"/>
                </w:tcPr>
                <w:p>
                  <w:pPr>
                    <w:adjustRightInd w:val="0"/>
                    <w:snapToGrid w:val="0"/>
                    <w:jc w:val="center"/>
                    <w:rPr>
                      <w:color w:val="000000"/>
                      <w:szCs w:val="21"/>
                    </w:rPr>
                  </w:pPr>
                  <w:r>
                    <w:rPr>
                      <w:rFonts w:hint="eastAsia"/>
                      <w:color w:val="000000"/>
                      <w:szCs w:val="21"/>
                    </w:rPr>
                    <w:t>钠长石</w:t>
                  </w:r>
                </w:p>
              </w:tc>
              <w:tc>
                <w:tcPr>
                  <w:tcW w:w="1657" w:type="dxa"/>
                  <w:vAlign w:val="center"/>
                </w:tcPr>
                <w:p>
                  <w:pPr>
                    <w:adjustRightInd w:val="0"/>
                    <w:snapToGrid w:val="0"/>
                    <w:jc w:val="center"/>
                    <w:rPr>
                      <w:color w:val="000000"/>
                      <w:szCs w:val="21"/>
                    </w:rPr>
                  </w:pPr>
                  <w:r>
                    <w:rPr>
                      <w:rFonts w:hint="eastAsia"/>
                      <w:color w:val="000000"/>
                      <w:szCs w:val="21"/>
                    </w:rPr>
                    <w:t>20~30mm</w:t>
                  </w:r>
                </w:p>
              </w:tc>
              <w:tc>
                <w:tcPr>
                  <w:tcW w:w="1694" w:type="dxa"/>
                  <w:vAlign w:val="center"/>
                </w:tcPr>
                <w:p>
                  <w:pPr>
                    <w:pStyle w:val="59"/>
                    <w:spacing w:line="240" w:lineRule="auto"/>
                    <w:rPr>
                      <w:rFonts w:hint="default" w:eastAsia="宋体"/>
                      <w:b/>
                      <w:bCs/>
                      <w:kern w:val="2"/>
                      <w:u w:val="single"/>
                      <w:lang w:val="en-US" w:eastAsia="zh-CN"/>
                    </w:rPr>
                  </w:pPr>
                  <w:r>
                    <w:rPr>
                      <w:rFonts w:hint="eastAsia"/>
                      <w:b/>
                      <w:bCs/>
                      <w:kern w:val="2"/>
                      <w:u w:val="single"/>
                      <w:lang w:val="en-US" w:eastAsia="zh-CN"/>
                    </w:rPr>
                    <w:t>37715.22</w:t>
                  </w:r>
                </w:p>
              </w:tc>
              <w:tc>
                <w:tcPr>
                  <w:tcW w:w="2300" w:type="dxa"/>
                  <w:vAlign w:val="center"/>
                </w:tcPr>
                <w:p>
                  <w:pPr>
                    <w:pStyle w:val="8"/>
                    <w:spacing w:before="0" w:after="0" w:line="240" w:lineRule="auto"/>
                    <w:ind w:right="0"/>
                    <w:jc w:val="center"/>
                    <w:rPr>
                      <w:color w:val="000000"/>
                      <w:sz w:val="21"/>
                      <w:szCs w:val="21"/>
                    </w:rPr>
                  </w:pPr>
                  <w:r>
                    <w:rPr>
                      <w:rFonts w:hint="eastAsia"/>
                      <w:color w:val="000000"/>
                      <w:sz w:val="21"/>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3</w:t>
                  </w:r>
                </w:p>
              </w:tc>
              <w:tc>
                <w:tcPr>
                  <w:tcW w:w="1509" w:type="dxa"/>
                  <w:vAlign w:val="center"/>
                </w:tcPr>
                <w:p>
                  <w:pPr>
                    <w:adjustRightInd w:val="0"/>
                    <w:snapToGrid w:val="0"/>
                    <w:jc w:val="center"/>
                    <w:rPr>
                      <w:color w:val="000000"/>
                      <w:szCs w:val="21"/>
                    </w:rPr>
                  </w:pPr>
                  <w:r>
                    <w:rPr>
                      <w:rFonts w:hint="eastAsia"/>
                      <w:color w:val="000000"/>
                      <w:szCs w:val="21"/>
                    </w:rPr>
                    <w:t>霞石</w:t>
                  </w:r>
                </w:p>
              </w:tc>
              <w:tc>
                <w:tcPr>
                  <w:tcW w:w="1657" w:type="dxa"/>
                  <w:vAlign w:val="center"/>
                </w:tcPr>
                <w:p>
                  <w:pPr>
                    <w:adjustRightInd w:val="0"/>
                    <w:snapToGrid w:val="0"/>
                    <w:jc w:val="center"/>
                    <w:rPr>
                      <w:color w:val="000000"/>
                      <w:szCs w:val="21"/>
                    </w:rPr>
                  </w:pPr>
                  <w:r>
                    <w:rPr>
                      <w:rFonts w:hint="eastAsia"/>
                      <w:color w:val="000000"/>
                      <w:szCs w:val="21"/>
                    </w:rPr>
                    <w:t>50~60mm</w:t>
                  </w:r>
                </w:p>
              </w:tc>
              <w:tc>
                <w:tcPr>
                  <w:tcW w:w="1694" w:type="dxa"/>
                  <w:vAlign w:val="center"/>
                </w:tcPr>
                <w:p>
                  <w:pPr>
                    <w:pStyle w:val="59"/>
                    <w:spacing w:line="240" w:lineRule="auto"/>
                    <w:rPr>
                      <w:rFonts w:hint="default" w:eastAsia="宋体"/>
                      <w:b/>
                      <w:bCs/>
                      <w:kern w:val="2"/>
                      <w:u w:val="single"/>
                      <w:lang w:val="en-US" w:eastAsia="zh-CN"/>
                    </w:rPr>
                  </w:pPr>
                  <w:r>
                    <w:rPr>
                      <w:rFonts w:hint="eastAsia"/>
                      <w:b/>
                      <w:bCs/>
                      <w:kern w:val="2"/>
                      <w:u w:val="single"/>
                      <w:lang w:val="en-US" w:eastAsia="zh-CN"/>
                    </w:rPr>
                    <w:t>4714.40</w:t>
                  </w:r>
                </w:p>
              </w:tc>
              <w:tc>
                <w:tcPr>
                  <w:tcW w:w="2300" w:type="dxa"/>
                  <w:vAlign w:val="center"/>
                </w:tcPr>
                <w:p>
                  <w:pPr>
                    <w:widowControl/>
                    <w:jc w:val="center"/>
                    <w:rPr>
                      <w:color w:val="000000"/>
                      <w:szCs w:val="21"/>
                    </w:rPr>
                  </w:pPr>
                  <w:r>
                    <w:rPr>
                      <w:rFonts w:hint="eastAsia"/>
                      <w:color w:val="000000"/>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4</w:t>
                  </w:r>
                </w:p>
              </w:tc>
              <w:tc>
                <w:tcPr>
                  <w:tcW w:w="1509" w:type="dxa"/>
                  <w:vAlign w:val="center"/>
                </w:tcPr>
                <w:p>
                  <w:pPr>
                    <w:pStyle w:val="59"/>
                    <w:spacing w:line="240" w:lineRule="auto"/>
                    <w:rPr>
                      <w:color w:val="000000"/>
                      <w:kern w:val="2"/>
                    </w:rPr>
                  </w:pPr>
                  <w:r>
                    <w:rPr>
                      <w:rFonts w:hint="eastAsia"/>
                      <w:color w:val="000000"/>
                      <w:kern w:val="2"/>
                    </w:rPr>
                    <w:t>碳酸锶</w:t>
                  </w:r>
                </w:p>
              </w:tc>
              <w:tc>
                <w:tcPr>
                  <w:tcW w:w="1657" w:type="dxa"/>
                  <w:vAlign w:val="center"/>
                </w:tcPr>
                <w:p>
                  <w:pPr>
                    <w:pStyle w:val="59"/>
                    <w:spacing w:line="240" w:lineRule="auto"/>
                    <w:rPr>
                      <w:color w:val="000000"/>
                      <w:kern w:val="2"/>
                    </w:rPr>
                  </w:pPr>
                  <w:r>
                    <w:rPr>
                      <w:rFonts w:hint="eastAsia"/>
                      <w:color w:val="000000"/>
                      <w:kern w:val="2"/>
                    </w:rPr>
                    <w:t>100mm</w:t>
                  </w:r>
                </w:p>
              </w:tc>
              <w:tc>
                <w:tcPr>
                  <w:tcW w:w="1694" w:type="dxa"/>
                  <w:vAlign w:val="center"/>
                </w:tcPr>
                <w:p>
                  <w:pPr>
                    <w:pStyle w:val="59"/>
                    <w:spacing w:line="240" w:lineRule="auto"/>
                    <w:rPr>
                      <w:rFonts w:hint="default" w:eastAsia="宋体"/>
                      <w:b/>
                      <w:bCs/>
                      <w:kern w:val="2"/>
                      <w:u w:val="single"/>
                      <w:lang w:val="en-US" w:eastAsia="zh-CN"/>
                    </w:rPr>
                  </w:pPr>
                  <w:r>
                    <w:rPr>
                      <w:rFonts w:hint="eastAsia"/>
                      <w:b/>
                      <w:bCs/>
                      <w:kern w:val="2"/>
                      <w:u w:val="single"/>
                      <w:lang w:val="en-US" w:eastAsia="zh-CN"/>
                    </w:rPr>
                    <w:t>4714.40</w:t>
                  </w:r>
                </w:p>
              </w:tc>
              <w:tc>
                <w:tcPr>
                  <w:tcW w:w="2300" w:type="dxa"/>
                  <w:vAlign w:val="center"/>
                </w:tcPr>
                <w:p>
                  <w:pPr>
                    <w:jc w:val="center"/>
                    <w:rPr>
                      <w:color w:val="000000"/>
                      <w:szCs w:val="21"/>
                    </w:rPr>
                  </w:pPr>
                  <w:r>
                    <w:rPr>
                      <w:rFonts w:hint="eastAsia"/>
                      <w:color w:val="000000"/>
                      <w:szCs w:val="21"/>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5</w:t>
                  </w:r>
                </w:p>
              </w:tc>
              <w:tc>
                <w:tcPr>
                  <w:tcW w:w="1509" w:type="dxa"/>
                  <w:vAlign w:val="center"/>
                </w:tcPr>
                <w:p>
                  <w:pPr>
                    <w:pStyle w:val="59"/>
                    <w:spacing w:line="240" w:lineRule="auto"/>
                    <w:rPr>
                      <w:color w:val="000000"/>
                      <w:kern w:val="2"/>
                    </w:rPr>
                  </w:pPr>
                  <w:r>
                    <w:rPr>
                      <w:rFonts w:hint="eastAsia"/>
                      <w:color w:val="000000"/>
                      <w:kern w:val="2"/>
                    </w:rPr>
                    <w:t>碳酸钡</w:t>
                  </w:r>
                </w:p>
              </w:tc>
              <w:tc>
                <w:tcPr>
                  <w:tcW w:w="1657" w:type="dxa"/>
                  <w:vAlign w:val="center"/>
                </w:tcPr>
                <w:p>
                  <w:pPr>
                    <w:pStyle w:val="59"/>
                    <w:spacing w:line="240" w:lineRule="auto"/>
                    <w:rPr>
                      <w:color w:val="000000"/>
                      <w:kern w:val="2"/>
                    </w:rPr>
                  </w:pPr>
                  <w:r>
                    <w:rPr>
                      <w:rFonts w:hint="eastAsia"/>
                      <w:color w:val="000000"/>
                      <w:kern w:val="2"/>
                    </w:rPr>
                    <w:t>100mm</w:t>
                  </w:r>
                </w:p>
              </w:tc>
              <w:tc>
                <w:tcPr>
                  <w:tcW w:w="1694" w:type="dxa"/>
                  <w:vAlign w:val="center"/>
                </w:tcPr>
                <w:p>
                  <w:pPr>
                    <w:pStyle w:val="59"/>
                    <w:spacing w:line="240" w:lineRule="auto"/>
                    <w:rPr>
                      <w:rFonts w:hint="default" w:eastAsia="宋体"/>
                      <w:b/>
                      <w:bCs/>
                      <w:kern w:val="2"/>
                      <w:u w:val="single"/>
                      <w:lang w:val="en-US" w:eastAsia="zh-CN"/>
                    </w:rPr>
                  </w:pPr>
                  <w:r>
                    <w:rPr>
                      <w:rFonts w:hint="eastAsia"/>
                      <w:b/>
                      <w:bCs/>
                      <w:kern w:val="2"/>
                      <w:u w:val="single"/>
                      <w:lang w:val="en-US" w:eastAsia="zh-CN"/>
                    </w:rPr>
                    <w:t>9428.80</w:t>
                  </w:r>
                </w:p>
              </w:tc>
              <w:tc>
                <w:tcPr>
                  <w:tcW w:w="2300" w:type="dxa"/>
                  <w:vAlign w:val="center"/>
                </w:tcPr>
                <w:p>
                  <w:pPr>
                    <w:pStyle w:val="59"/>
                    <w:spacing w:line="240" w:lineRule="auto"/>
                    <w:rPr>
                      <w:color w:val="000000"/>
                      <w:kern w:val="2"/>
                    </w:rPr>
                  </w:pPr>
                  <w:r>
                    <w:rPr>
                      <w:rFonts w:hint="eastAsia"/>
                      <w:color w:val="000000"/>
                      <w:kern w:val="2"/>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rFonts w:hint="eastAsia" w:eastAsia="宋体"/>
                      <w:b/>
                      <w:bCs/>
                      <w:color w:val="000000"/>
                      <w:sz w:val="21"/>
                      <w:szCs w:val="21"/>
                      <w:u w:val="single"/>
                      <w:lang w:val="en-US" w:eastAsia="zh-CN"/>
                    </w:rPr>
                  </w:pPr>
                  <w:r>
                    <w:rPr>
                      <w:rFonts w:hint="eastAsia"/>
                      <w:b/>
                      <w:bCs/>
                      <w:color w:val="000000"/>
                      <w:sz w:val="21"/>
                      <w:szCs w:val="21"/>
                      <w:u w:val="single"/>
                      <w:lang w:val="en-US" w:eastAsia="zh-CN"/>
                    </w:rPr>
                    <w:t>6</w:t>
                  </w:r>
                </w:p>
              </w:tc>
              <w:tc>
                <w:tcPr>
                  <w:tcW w:w="1509" w:type="dxa"/>
                  <w:vAlign w:val="center"/>
                </w:tcPr>
                <w:p>
                  <w:pPr>
                    <w:pStyle w:val="59"/>
                    <w:spacing w:line="240" w:lineRule="auto"/>
                    <w:rPr>
                      <w:rFonts w:hint="eastAsia" w:eastAsia="宋体"/>
                      <w:b/>
                      <w:bCs/>
                      <w:color w:val="000000"/>
                      <w:kern w:val="2"/>
                      <w:u w:val="single"/>
                      <w:lang w:val="en-US" w:eastAsia="zh-CN"/>
                    </w:rPr>
                  </w:pPr>
                  <w:r>
                    <w:rPr>
                      <w:rFonts w:hint="eastAsia"/>
                      <w:b/>
                      <w:bCs/>
                      <w:color w:val="000000"/>
                      <w:kern w:val="2"/>
                      <w:u w:val="single"/>
                      <w:lang w:val="en-US" w:eastAsia="zh-CN"/>
                    </w:rPr>
                    <w:t>陶瓷球</w:t>
                  </w:r>
                </w:p>
              </w:tc>
              <w:tc>
                <w:tcPr>
                  <w:tcW w:w="1657" w:type="dxa"/>
                  <w:vAlign w:val="center"/>
                </w:tcPr>
                <w:p>
                  <w:pPr>
                    <w:pStyle w:val="59"/>
                    <w:spacing w:line="240" w:lineRule="auto"/>
                    <w:rPr>
                      <w:rFonts w:hint="eastAsia" w:eastAsia="宋体"/>
                      <w:b/>
                      <w:bCs/>
                      <w:color w:val="000000"/>
                      <w:kern w:val="2"/>
                      <w:u w:val="single"/>
                      <w:lang w:val="en-US" w:eastAsia="zh-CN"/>
                    </w:rPr>
                  </w:pPr>
                  <w:r>
                    <w:rPr>
                      <w:rFonts w:hint="eastAsia"/>
                      <w:b/>
                      <w:bCs/>
                      <w:color w:val="000000"/>
                      <w:kern w:val="2"/>
                      <w:u w:val="single"/>
                      <w:lang w:val="en-US" w:eastAsia="zh-CN"/>
                    </w:rPr>
                    <w:t>/</w:t>
                  </w:r>
                </w:p>
              </w:tc>
              <w:tc>
                <w:tcPr>
                  <w:tcW w:w="1694" w:type="dxa"/>
                  <w:vAlign w:val="center"/>
                </w:tcPr>
                <w:p>
                  <w:pPr>
                    <w:pStyle w:val="59"/>
                    <w:spacing w:line="240" w:lineRule="auto"/>
                    <w:rPr>
                      <w:rFonts w:hint="eastAsia" w:eastAsia="宋体"/>
                      <w:b/>
                      <w:bCs/>
                      <w:kern w:val="2"/>
                      <w:u w:val="single"/>
                      <w:lang w:val="en-US" w:eastAsia="zh-CN"/>
                    </w:rPr>
                  </w:pPr>
                  <w:r>
                    <w:rPr>
                      <w:rFonts w:hint="eastAsia"/>
                      <w:b/>
                      <w:bCs/>
                      <w:kern w:val="2"/>
                      <w:u w:val="single"/>
                      <w:lang w:val="en-US" w:eastAsia="zh-CN"/>
                    </w:rPr>
                    <w:t>200</w:t>
                  </w:r>
                </w:p>
              </w:tc>
              <w:tc>
                <w:tcPr>
                  <w:tcW w:w="2300" w:type="dxa"/>
                  <w:vAlign w:val="center"/>
                </w:tcPr>
                <w:p>
                  <w:pPr>
                    <w:pStyle w:val="59"/>
                    <w:spacing w:line="240" w:lineRule="auto"/>
                    <w:rPr>
                      <w:rFonts w:hint="eastAsia"/>
                      <w:b/>
                      <w:bCs/>
                      <w:color w:val="000000"/>
                      <w:kern w:val="2"/>
                      <w:u w:val="single"/>
                    </w:rPr>
                  </w:pPr>
                  <w:r>
                    <w:rPr>
                      <w:rFonts w:hint="eastAsia"/>
                      <w:b/>
                      <w:bCs/>
                      <w:color w:val="000000"/>
                      <w:kern w:val="2"/>
                      <w:u w:val="single"/>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rFonts w:hint="eastAsia"/>
                      <w:b/>
                      <w:bCs/>
                      <w:color w:val="000000"/>
                      <w:sz w:val="21"/>
                      <w:szCs w:val="21"/>
                      <w:u w:val="single"/>
                      <w:lang w:val="en-US" w:eastAsia="zh-CN"/>
                    </w:rPr>
                  </w:pPr>
                  <w:r>
                    <w:rPr>
                      <w:rFonts w:hint="eastAsia"/>
                      <w:b/>
                      <w:bCs/>
                      <w:color w:val="000000"/>
                      <w:sz w:val="21"/>
                      <w:szCs w:val="21"/>
                      <w:u w:val="single"/>
                      <w:lang w:val="en-US" w:eastAsia="zh-CN"/>
                    </w:rPr>
                    <w:t>7</w:t>
                  </w:r>
                </w:p>
              </w:tc>
              <w:tc>
                <w:tcPr>
                  <w:tcW w:w="1509" w:type="dxa"/>
                  <w:vAlign w:val="center"/>
                </w:tcPr>
                <w:p>
                  <w:pPr>
                    <w:pStyle w:val="59"/>
                    <w:spacing w:line="240" w:lineRule="auto"/>
                    <w:rPr>
                      <w:rFonts w:hint="eastAsia" w:eastAsia="宋体"/>
                      <w:b/>
                      <w:bCs/>
                      <w:color w:val="000000"/>
                      <w:kern w:val="2"/>
                      <w:u w:val="single"/>
                      <w:lang w:val="en-US" w:eastAsia="zh-CN"/>
                    </w:rPr>
                  </w:pPr>
                  <w:r>
                    <w:rPr>
                      <w:rFonts w:hint="eastAsia"/>
                      <w:b/>
                      <w:bCs/>
                      <w:color w:val="000000"/>
                      <w:kern w:val="2"/>
                      <w:u w:val="single"/>
                      <w:lang w:val="en-US" w:eastAsia="zh-CN"/>
                    </w:rPr>
                    <w:t>聚合氯化铝</w:t>
                  </w:r>
                </w:p>
              </w:tc>
              <w:tc>
                <w:tcPr>
                  <w:tcW w:w="1657" w:type="dxa"/>
                  <w:vAlign w:val="center"/>
                </w:tcPr>
                <w:p>
                  <w:pPr>
                    <w:pStyle w:val="59"/>
                    <w:spacing w:line="240" w:lineRule="auto"/>
                    <w:rPr>
                      <w:rFonts w:hint="eastAsia" w:eastAsia="宋体"/>
                      <w:b/>
                      <w:bCs/>
                      <w:color w:val="000000"/>
                      <w:kern w:val="2"/>
                      <w:u w:val="single"/>
                      <w:lang w:val="en-US" w:eastAsia="zh-CN"/>
                    </w:rPr>
                  </w:pPr>
                  <w:r>
                    <w:rPr>
                      <w:rFonts w:hint="eastAsia"/>
                      <w:b/>
                      <w:bCs/>
                      <w:color w:val="000000"/>
                      <w:kern w:val="2"/>
                      <w:u w:val="single"/>
                      <w:lang w:val="en-US" w:eastAsia="zh-CN"/>
                    </w:rPr>
                    <w:t>/</w:t>
                  </w:r>
                </w:p>
              </w:tc>
              <w:tc>
                <w:tcPr>
                  <w:tcW w:w="1694" w:type="dxa"/>
                  <w:vAlign w:val="center"/>
                </w:tcPr>
                <w:p>
                  <w:pPr>
                    <w:pStyle w:val="59"/>
                    <w:spacing w:line="240" w:lineRule="auto"/>
                    <w:rPr>
                      <w:rFonts w:hint="eastAsia" w:eastAsia="宋体"/>
                      <w:b/>
                      <w:bCs/>
                      <w:kern w:val="2"/>
                      <w:u w:val="single"/>
                      <w:lang w:val="en-US" w:eastAsia="zh-CN"/>
                    </w:rPr>
                  </w:pPr>
                  <w:r>
                    <w:rPr>
                      <w:rFonts w:hint="eastAsia"/>
                      <w:b/>
                      <w:bCs/>
                      <w:kern w:val="2"/>
                      <w:u w:val="single"/>
                      <w:lang w:val="en-US" w:eastAsia="zh-CN"/>
                    </w:rPr>
                    <w:t>100</w:t>
                  </w:r>
                </w:p>
              </w:tc>
              <w:tc>
                <w:tcPr>
                  <w:tcW w:w="2300" w:type="dxa"/>
                  <w:vAlign w:val="center"/>
                </w:tcPr>
                <w:p>
                  <w:pPr>
                    <w:pStyle w:val="59"/>
                    <w:spacing w:line="240" w:lineRule="auto"/>
                    <w:rPr>
                      <w:rFonts w:hint="eastAsia"/>
                      <w:b/>
                      <w:bCs/>
                      <w:color w:val="000000"/>
                      <w:kern w:val="2"/>
                      <w:u w:val="single"/>
                    </w:rPr>
                  </w:pPr>
                  <w:r>
                    <w:rPr>
                      <w:rFonts w:hint="eastAsia"/>
                      <w:b/>
                      <w:bCs/>
                      <w:color w:val="000000"/>
                      <w:kern w:val="2"/>
                      <w:u w:val="single"/>
                    </w:rPr>
                    <w:t>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1</w:t>
                  </w:r>
                </w:p>
              </w:tc>
              <w:tc>
                <w:tcPr>
                  <w:tcW w:w="3166" w:type="dxa"/>
                  <w:gridSpan w:val="2"/>
                  <w:vAlign w:val="center"/>
                </w:tcPr>
                <w:p>
                  <w:pPr>
                    <w:pStyle w:val="59"/>
                    <w:spacing w:line="240" w:lineRule="auto"/>
                    <w:rPr>
                      <w:color w:val="000000"/>
                      <w:kern w:val="2"/>
                    </w:rPr>
                  </w:pPr>
                  <w:r>
                    <w:rPr>
                      <w:color w:val="000000"/>
                      <w:kern w:val="2"/>
                    </w:rPr>
                    <w:t>水</w:t>
                  </w:r>
                </w:p>
              </w:tc>
              <w:tc>
                <w:tcPr>
                  <w:tcW w:w="1694" w:type="dxa"/>
                  <w:vAlign w:val="center"/>
                </w:tcPr>
                <w:p>
                  <w:pPr>
                    <w:pStyle w:val="59"/>
                    <w:spacing w:line="240" w:lineRule="auto"/>
                    <w:rPr>
                      <w:b/>
                      <w:bCs/>
                      <w:color w:val="auto"/>
                      <w:kern w:val="2"/>
                      <w:highlight w:val="yellow"/>
                      <w:u w:val="single"/>
                    </w:rPr>
                  </w:pPr>
                  <w:r>
                    <w:rPr>
                      <w:rFonts w:hint="eastAsia"/>
                      <w:b/>
                      <w:bCs/>
                      <w:color w:val="auto"/>
                      <w:kern w:val="2"/>
                      <w:u w:val="single"/>
                    </w:rPr>
                    <w:t>27万</w:t>
                  </w:r>
                  <w:r>
                    <w:rPr>
                      <w:b/>
                      <w:bCs/>
                      <w:color w:val="auto"/>
                      <w:kern w:val="2"/>
                      <w:u w:val="single"/>
                    </w:rPr>
                    <w:t>m</w:t>
                  </w:r>
                  <w:r>
                    <w:rPr>
                      <w:b/>
                      <w:bCs/>
                      <w:color w:val="auto"/>
                      <w:kern w:val="2"/>
                      <w:u w:val="single"/>
                      <w:vertAlign w:val="superscript"/>
                    </w:rPr>
                    <w:t>3</w:t>
                  </w:r>
                  <w:r>
                    <w:rPr>
                      <w:b/>
                      <w:bCs/>
                      <w:color w:val="auto"/>
                      <w:kern w:val="2"/>
                      <w:u w:val="single"/>
                    </w:rPr>
                    <w:t>/a</w:t>
                  </w:r>
                </w:p>
              </w:tc>
              <w:tc>
                <w:tcPr>
                  <w:tcW w:w="2300" w:type="dxa"/>
                  <w:vAlign w:val="center"/>
                </w:tcPr>
                <w:p>
                  <w:pPr>
                    <w:pStyle w:val="45"/>
                    <w:spacing w:line="240" w:lineRule="auto"/>
                    <w:rPr>
                      <w:rFonts w:hint="eastAsia" w:hAnsi="Times New Roman" w:eastAsia="宋体"/>
                      <w:b/>
                      <w:bCs/>
                      <w:color w:val="auto"/>
                      <w:kern w:val="2"/>
                      <w:highlight w:val="yellow"/>
                      <w:u w:val="single"/>
                      <w:lang w:val="en-US" w:eastAsia="zh-CN"/>
                    </w:rPr>
                  </w:pPr>
                  <w:r>
                    <w:rPr>
                      <w:rFonts w:hint="eastAsia" w:hAnsi="Times New Roman"/>
                      <w:b/>
                      <w:bCs/>
                      <w:color w:val="auto"/>
                      <w:u w:val="single"/>
                    </w:rPr>
                    <w:t>其中新鲜水用量为</w:t>
                  </w:r>
                  <w:r>
                    <w:rPr>
                      <w:rFonts w:hint="eastAsia" w:hAnsi="Times New Roman"/>
                      <w:b/>
                      <w:bCs/>
                      <w:color w:val="auto"/>
                      <w:u w:val="single"/>
                      <w:lang w:val="en-US" w:eastAsia="zh-CN"/>
                    </w:rPr>
                    <w:t>18747.5</w:t>
                  </w:r>
                  <w:r>
                    <w:rPr>
                      <w:rFonts w:hAnsi="Times New Roman"/>
                      <w:b/>
                      <w:bCs/>
                      <w:color w:val="auto"/>
                      <w:u w:val="single"/>
                    </w:rPr>
                    <w:t>m</w:t>
                  </w:r>
                  <w:r>
                    <w:rPr>
                      <w:rFonts w:hAnsi="Times New Roman"/>
                      <w:b/>
                      <w:bCs/>
                      <w:color w:val="auto"/>
                      <w:u w:val="single"/>
                      <w:vertAlign w:val="superscript"/>
                    </w:rPr>
                    <w:t>3</w:t>
                  </w:r>
                  <w:r>
                    <w:rPr>
                      <w:rFonts w:hAnsi="Times New Roman"/>
                      <w:b/>
                      <w:bCs/>
                      <w:color w:val="auto"/>
                      <w:u w:val="single"/>
                    </w:rPr>
                    <w:t>/a</w:t>
                  </w:r>
                  <w:r>
                    <w:rPr>
                      <w:rFonts w:hint="eastAsia" w:hAnsi="Times New Roman"/>
                      <w:b/>
                      <w:bCs/>
                      <w:color w:val="auto"/>
                      <w:u w:val="single"/>
                    </w:rPr>
                    <w:t>，回用水量为</w:t>
                  </w:r>
                  <w:r>
                    <w:rPr>
                      <w:rFonts w:hint="eastAsia" w:hAnsi="Times New Roman"/>
                      <w:b/>
                      <w:bCs/>
                      <w:color w:val="auto"/>
                      <w:u w:val="single"/>
                      <w:lang w:val="en-US" w:eastAsia="zh-CN"/>
                    </w:rPr>
                    <w:t>250787.5</w:t>
                  </w:r>
                  <w:r>
                    <w:rPr>
                      <w:rFonts w:hAnsi="Times New Roman"/>
                      <w:b/>
                      <w:bCs/>
                      <w:color w:val="auto"/>
                      <w:u w:val="single"/>
                    </w:rPr>
                    <w:t>m</w:t>
                  </w:r>
                  <w:r>
                    <w:rPr>
                      <w:rFonts w:hAnsi="Times New Roman"/>
                      <w:b/>
                      <w:bCs/>
                      <w:color w:val="auto"/>
                      <w:u w:val="single"/>
                      <w:vertAlign w:val="superscript"/>
                    </w:rPr>
                    <w:t>3</w:t>
                  </w:r>
                  <w:r>
                    <w:rPr>
                      <w:rFonts w:hAnsi="Times New Roman"/>
                      <w:b/>
                      <w:bCs/>
                      <w:color w:val="auto"/>
                      <w:u w:val="single"/>
                    </w:rPr>
                    <w:t>/a</w:t>
                  </w:r>
                  <w:r>
                    <w:rPr>
                      <w:rFonts w:hint="eastAsia" w:hAnsi="Times New Roman"/>
                      <w:b/>
                      <w:bCs/>
                      <w:color w:val="auto"/>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2</w:t>
                  </w:r>
                </w:p>
              </w:tc>
              <w:tc>
                <w:tcPr>
                  <w:tcW w:w="3166" w:type="dxa"/>
                  <w:gridSpan w:val="2"/>
                  <w:vAlign w:val="center"/>
                </w:tcPr>
                <w:p>
                  <w:pPr>
                    <w:adjustRightInd w:val="0"/>
                    <w:snapToGrid w:val="0"/>
                    <w:jc w:val="center"/>
                    <w:rPr>
                      <w:color w:val="000000"/>
                      <w:szCs w:val="21"/>
                    </w:rPr>
                  </w:pPr>
                  <w:r>
                    <w:rPr>
                      <w:color w:val="000000"/>
                      <w:szCs w:val="21"/>
                    </w:rPr>
                    <w:t>电</w:t>
                  </w:r>
                </w:p>
              </w:tc>
              <w:tc>
                <w:tcPr>
                  <w:tcW w:w="1694" w:type="dxa"/>
                  <w:vAlign w:val="center"/>
                </w:tcPr>
                <w:p>
                  <w:pPr>
                    <w:pStyle w:val="59"/>
                    <w:spacing w:line="240" w:lineRule="auto"/>
                    <w:rPr>
                      <w:color w:val="FF0000"/>
                      <w:kern w:val="2"/>
                    </w:rPr>
                  </w:pPr>
                  <w:r>
                    <w:rPr>
                      <w:rFonts w:hint="eastAsia"/>
                      <w:kern w:val="2"/>
                    </w:rPr>
                    <w:t>65</w:t>
                  </w:r>
                  <w:r>
                    <w:rPr>
                      <w:kern w:val="2"/>
                    </w:rPr>
                    <w:t>万kw·h/a</w:t>
                  </w:r>
                </w:p>
              </w:tc>
              <w:tc>
                <w:tcPr>
                  <w:tcW w:w="2300" w:type="dxa"/>
                  <w:vAlign w:val="center"/>
                </w:tcPr>
                <w:p>
                  <w:pPr>
                    <w:pStyle w:val="59"/>
                    <w:spacing w:line="240" w:lineRule="auto"/>
                    <w:rPr>
                      <w:color w:val="000000"/>
                      <w:kern w:val="2"/>
                    </w:rPr>
                  </w:pPr>
                  <w:r>
                    <w:rPr>
                      <w:rFonts w:hint="eastAsia"/>
                      <w:color w:val="000000"/>
                      <w:kern w:val="2"/>
                    </w:rPr>
                    <w:t>市政供电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775" w:type="dxa"/>
                  <w:vAlign w:val="center"/>
                </w:tcPr>
                <w:p>
                  <w:pPr>
                    <w:pStyle w:val="8"/>
                    <w:spacing w:before="0" w:after="0" w:line="240" w:lineRule="auto"/>
                    <w:ind w:right="0"/>
                    <w:jc w:val="center"/>
                    <w:rPr>
                      <w:color w:val="000000"/>
                      <w:sz w:val="21"/>
                      <w:szCs w:val="21"/>
                    </w:rPr>
                  </w:pPr>
                  <w:r>
                    <w:rPr>
                      <w:rFonts w:hint="eastAsia"/>
                      <w:color w:val="000000"/>
                      <w:sz w:val="21"/>
                      <w:szCs w:val="21"/>
                    </w:rPr>
                    <w:t>3</w:t>
                  </w:r>
                </w:p>
              </w:tc>
              <w:tc>
                <w:tcPr>
                  <w:tcW w:w="3166" w:type="dxa"/>
                  <w:gridSpan w:val="2"/>
                  <w:vAlign w:val="center"/>
                </w:tcPr>
                <w:p>
                  <w:pPr>
                    <w:pStyle w:val="59"/>
                    <w:spacing w:line="240" w:lineRule="auto"/>
                    <w:rPr>
                      <w:color w:val="000000"/>
                      <w:kern w:val="2"/>
                    </w:rPr>
                  </w:pPr>
                  <w:r>
                    <w:rPr>
                      <w:rFonts w:hint="eastAsia"/>
                      <w:color w:val="000000"/>
                      <w:kern w:val="2"/>
                    </w:rPr>
                    <w:t>天然气</w:t>
                  </w:r>
                </w:p>
              </w:tc>
              <w:tc>
                <w:tcPr>
                  <w:tcW w:w="1694" w:type="dxa"/>
                  <w:vAlign w:val="center"/>
                </w:tcPr>
                <w:p>
                  <w:pPr>
                    <w:pStyle w:val="59"/>
                    <w:spacing w:line="240" w:lineRule="auto"/>
                    <w:rPr>
                      <w:color w:val="000000"/>
                      <w:kern w:val="2"/>
                      <w:highlight w:val="yellow"/>
                    </w:rPr>
                  </w:pPr>
                  <w:r>
                    <w:rPr>
                      <w:rFonts w:hint="eastAsia"/>
                      <w:color w:val="000000"/>
                      <w:kern w:val="2"/>
                    </w:rPr>
                    <w:t>180万</w:t>
                  </w:r>
                  <w:r>
                    <w:rPr>
                      <w:color w:val="000000"/>
                      <w:kern w:val="2"/>
                    </w:rPr>
                    <w:t>m</w:t>
                  </w:r>
                  <w:r>
                    <w:rPr>
                      <w:color w:val="000000"/>
                      <w:kern w:val="2"/>
                      <w:vertAlign w:val="superscript"/>
                    </w:rPr>
                    <w:t>3</w:t>
                  </w:r>
                  <w:r>
                    <w:rPr>
                      <w:rFonts w:hint="eastAsia"/>
                      <w:color w:val="000000"/>
                      <w:kern w:val="2"/>
                    </w:rPr>
                    <w:t>/a</w:t>
                  </w:r>
                </w:p>
              </w:tc>
              <w:tc>
                <w:tcPr>
                  <w:tcW w:w="2300" w:type="dxa"/>
                  <w:vAlign w:val="center"/>
                </w:tcPr>
                <w:p>
                  <w:pPr>
                    <w:pStyle w:val="45"/>
                    <w:spacing w:line="240" w:lineRule="auto"/>
                    <w:rPr>
                      <w:rFonts w:hint="eastAsia" w:hAnsi="Times New Roman" w:eastAsia="宋体"/>
                      <w:kern w:val="2"/>
                      <w:highlight w:val="yellow"/>
                      <w:lang w:val="en-US" w:eastAsia="zh-CN"/>
                    </w:rPr>
                  </w:pPr>
                  <w:r>
                    <w:rPr>
                      <w:rFonts w:hint="eastAsia" w:hAnsi="Times New Roman"/>
                      <w:kern w:val="2"/>
                      <w:lang w:eastAsia="zh-CN"/>
                    </w:rPr>
                    <w:t>“</w:t>
                  </w:r>
                  <w:r>
                    <w:rPr>
                      <w:rFonts w:hint="eastAsia" w:hAnsi="Times New Roman"/>
                      <w:kern w:val="2"/>
                      <w:lang w:val="en-US" w:eastAsia="zh-CN"/>
                    </w:rPr>
                    <w:t>西气东输</w:t>
                  </w:r>
                  <w:r>
                    <w:rPr>
                      <w:rFonts w:hint="eastAsia" w:hAnsi="Times New Roman"/>
                      <w:kern w:val="2"/>
                      <w:lang w:eastAsia="zh-CN"/>
                    </w:rPr>
                    <w:t>”</w:t>
                  </w:r>
                  <w:r>
                    <w:rPr>
                      <w:rFonts w:hint="eastAsia" w:hAnsi="Times New Roman"/>
                      <w:kern w:val="2"/>
                      <w:lang w:val="en-US" w:eastAsia="zh-CN"/>
                    </w:rPr>
                    <w:t>管道燃气</w:t>
                  </w:r>
                </w:p>
              </w:tc>
            </w:tr>
          </w:tbl>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主要原辅材料介绍：</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（1）钾长石</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钾长石（K</w:t>
            </w:r>
            <w:r>
              <w:rPr>
                <w:rFonts w:cs="宋体"/>
                <w:kern w:val="0"/>
                <w:sz w:val="24"/>
                <w:vertAlign w:val="subscript"/>
              </w:rPr>
              <w:t>2</w:t>
            </w:r>
            <w:r>
              <w:rPr>
                <w:rFonts w:cs="宋体"/>
                <w:kern w:val="0"/>
                <w:sz w:val="24"/>
              </w:rPr>
              <w:t>O·Al</w:t>
            </w:r>
            <w:r>
              <w:rPr>
                <w:rFonts w:cs="宋体"/>
                <w:kern w:val="0"/>
                <w:sz w:val="24"/>
                <w:vertAlign w:val="subscript"/>
              </w:rPr>
              <w:t>2</w:t>
            </w:r>
            <w:r>
              <w:rPr>
                <w:rFonts w:cs="宋体"/>
                <w:kern w:val="0"/>
                <w:sz w:val="24"/>
              </w:rPr>
              <w:t>O</w:t>
            </w:r>
            <w:r>
              <w:rPr>
                <w:rFonts w:cs="宋体"/>
                <w:kern w:val="0"/>
                <w:sz w:val="24"/>
                <w:vertAlign w:val="subscript"/>
              </w:rPr>
              <w:t>3</w:t>
            </w:r>
            <w:r>
              <w:rPr>
                <w:rFonts w:cs="宋体"/>
                <w:kern w:val="0"/>
                <w:sz w:val="24"/>
              </w:rPr>
              <w:t>·6SiO</w:t>
            </w:r>
            <w:r>
              <w:rPr>
                <w:rFonts w:cs="宋体"/>
                <w:kern w:val="0"/>
                <w:sz w:val="24"/>
                <w:vertAlign w:val="subscript"/>
              </w:rPr>
              <w:t>2</w:t>
            </w:r>
            <w:r>
              <w:rPr>
                <w:rFonts w:hint="eastAsia" w:cs="宋体"/>
                <w:kern w:val="0"/>
                <w:sz w:val="24"/>
              </w:rPr>
              <w:t>）通常也称正长石，是我国比较重要的一种非金属矿石，属单斜晶系，通常呈肉红色、白色或灰色。密度2.54~2.57g/cm</w:t>
            </w:r>
            <w:r>
              <w:rPr>
                <w:rFonts w:hint="eastAsia" w:cs="宋体"/>
                <w:kern w:val="0"/>
                <w:sz w:val="24"/>
                <w:vertAlign w:val="superscript"/>
              </w:rPr>
              <w:t>3</w:t>
            </w:r>
            <w:r>
              <w:rPr>
                <w:rFonts w:hint="eastAsia" w:cs="宋体"/>
                <w:kern w:val="0"/>
                <w:sz w:val="24"/>
              </w:rPr>
              <w:t>，比重2.56~2.59g/cm</w:t>
            </w:r>
            <w:r>
              <w:rPr>
                <w:rFonts w:hint="eastAsia" w:cs="宋体"/>
                <w:kern w:val="0"/>
                <w:sz w:val="24"/>
                <w:vertAlign w:val="superscript"/>
              </w:rPr>
              <w:t>3</w:t>
            </w:r>
            <w:r>
              <w:rPr>
                <w:rFonts w:hint="eastAsia" w:cs="宋体"/>
                <w:kern w:val="0"/>
                <w:sz w:val="24"/>
              </w:rPr>
              <w:t>，硬度6，主要成分为SiO</w:t>
            </w:r>
            <w:r>
              <w:rPr>
                <w:rFonts w:hint="eastAsia" w:cs="宋体"/>
                <w:kern w:val="0"/>
                <w:sz w:val="24"/>
                <w:vertAlign w:val="subscript"/>
              </w:rPr>
              <w:t>2</w:t>
            </w:r>
            <w:r>
              <w:rPr>
                <w:rFonts w:hint="eastAsia" w:cs="宋体"/>
                <w:kern w:val="0"/>
                <w:sz w:val="24"/>
              </w:rPr>
              <w:t>、Al</w:t>
            </w:r>
            <w:r>
              <w:rPr>
                <w:rFonts w:hint="eastAsia" w:cs="宋体"/>
                <w:kern w:val="0"/>
                <w:sz w:val="24"/>
                <w:vertAlign w:val="subscript"/>
              </w:rPr>
              <w:t>2</w:t>
            </w:r>
            <w:r>
              <w:rPr>
                <w:rFonts w:hint="eastAsia" w:cs="宋体"/>
                <w:kern w:val="0"/>
                <w:sz w:val="24"/>
              </w:rPr>
              <w:t>O</w:t>
            </w:r>
            <w:r>
              <w:rPr>
                <w:rFonts w:hint="eastAsia" w:cs="宋体"/>
                <w:kern w:val="0"/>
                <w:sz w:val="24"/>
                <w:vertAlign w:val="subscript"/>
              </w:rPr>
              <w:t>3</w:t>
            </w:r>
            <w:r>
              <w:rPr>
                <w:rFonts w:hint="eastAsia" w:cs="宋体"/>
                <w:kern w:val="0"/>
                <w:sz w:val="24"/>
              </w:rPr>
              <w:t>、K</w:t>
            </w:r>
            <w:r>
              <w:rPr>
                <w:rFonts w:hint="eastAsia" w:cs="宋体"/>
                <w:kern w:val="0"/>
                <w:sz w:val="24"/>
                <w:vertAlign w:val="subscript"/>
              </w:rPr>
              <w:t>2</w:t>
            </w:r>
            <w:r>
              <w:rPr>
                <w:rFonts w:hint="eastAsia" w:cs="宋体"/>
                <w:kern w:val="0"/>
                <w:sz w:val="24"/>
              </w:rPr>
              <w:t>O、Na</w:t>
            </w:r>
            <w:r>
              <w:rPr>
                <w:rFonts w:hint="eastAsia" w:cs="宋体"/>
                <w:kern w:val="0"/>
                <w:sz w:val="24"/>
                <w:vertAlign w:val="subscript"/>
              </w:rPr>
              <w:t>2</w:t>
            </w:r>
            <w:r>
              <w:rPr>
                <w:rFonts w:hint="eastAsia" w:cs="宋体"/>
                <w:kern w:val="0"/>
                <w:sz w:val="24"/>
              </w:rPr>
              <w:t>O、Fe</w:t>
            </w:r>
            <w:r>
              <w:rPr>
                <w:rFonts w:hint="eastAsia" w:cs="宋体"/>
                <w:kern w:val="0"/>
                <w:sz w:val="24"/>
                <w:vertAlign w:val="subscript"/>
              </w:rPr>
              <w:t>2</w:t>
            </w:r>
            <w:r>
              <w:rPr>
                <w:rFonts w:hint="eastAsia" w:cs="宋体"/>
                <w:kern w:val="0"/>
                <w:sz w:val="24"/>
              </w:rPr>
              <w:t>O</w:t>
            </w:r>
            <w:r>
              <w:rPr>
                <w:rFonts w:hint="eastAsia" w:cs="宋体"/>
                <w:kern w:val="0"/>
                <w:sz w:val="24"/>
                <w:vertAlign w:val="subscript"/>
              </w:rPr>
              <w:t>3</w:t>
            </w:r>
            <w:r>
              <w:rPr>
                <w:rFonts w:hint="eastAsia" w:cs="宋体"/>
                <w:kern w:val="0"/>
                <w:sz w:val="24"/>
              </w:rPr>
              <w:t>等。它具有熔点低（1150±20℃），熔融间隔时间长，熔融粘度高等特点，广泛应用于陶瓷胚料、玻璃、电瓷、研磨材料等行业部门及制钾肥使用。</w:t>
            </w:r>
          </w:p>
          <w:p>
            <w:pPr>
              <w:numPr>
                <w:ilvl w:val="0"/>
                <w:numId w:val="2"/>
              </w:numPr>
              <w:autoSpaceDE w:val="0"/>
              <w:autoSpaceDN w:val="0"/>
              <w:adjustRightInd w:val="0"/>
              <w:snapToGrid w:val="0"/>
              <w:spacing w:line="360" w:lineRule="auto"/>
              <w:ind w:firstLine="480" w:firstLineChars="200"/>
              <w:rPr>
                <w:rFonts w:cs="宋体"/>
                <w:kern w:val="0"/>
                <w:sz w:val="24"/>
              </w:rPr>
            </w:pPr>
            <w:r>
              <w:rPr>
                <w:rFonts w:hint="eastAsia" w:cs="宋体"/>
                <w:kern w:val="0"/>
                <w:sz w:val="24"/>
              </w:rPr>
              <w:t>钠长石</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钠长石（</w:t>
            </w:r>
            <w:r>
              <w:rPr>
                <w:rFonts w:cs="宋体"/>
                <w:kern w:val="0"/>
                <w:sz w:val="24"/>
              </w:rPr>
              <w:t>Na</w:t>
            </w:r>
            <w:r>
              <w:rPr>
                <w:rFonts w:cs="宋体"/>
                <w:kern w:val="0"/>
                <w:sz w:val="24"/>
                <w:vertAlign w:val="subscript"/>
              </w:rPr>
              <w:t>2</w:t>
            </w:r>
            <w:r>
              <w:rPr>
                <w:rFonts w:cs="宋体"/>
                <w:kern w:val="0"/>
                <w:sz w:val="24"/>
              </w:rPr>
              <w:t>O·Al</w:t>
            </w:r>
            <w:r>
              <w:rPr>
                <w:rFonts w:cs="宋体"/>
                <w:kern w:val="0"/>
                <w:sz w:val="24"/>
                <w:vertAlign w:val="subscript"/>
              </w:rPr>
              <w:t>2</w:t>
            </w:r>
            <w:r>
              <w:rPr>
                <w:rFonts w:cs="宋体"/>
                <w:kern w:val="0"/>
                <w:sz w:val="24"/>
              </w:rPr>
              <w:t>O</w:t>
            </w:r>
            <w:r>
              <w:rPr>
                <w:rFonts w:cs="宋体"/>
                <w:kern w:val="0"/>
                <w:sz w:val="24"/>
                <w:vertAlign w:val="subscript"/>
              </w:rPr>
              <w:t>3</w:t>
            </w:r>
            <w:r>
              <w:rPr>
                <w:rFonts w:cs="宋体"/>
                <w:kern w:val="0"/>
                <w:sz w:val="24"/>
              </w:rPr>
              <w:t>·6SiO</w:t>
            </w:r>
            <w:r>
              <w:rPr>
                <w:rFonts w:cs="宋体"/>
                <w:kern w:val="0"/>
                <w:sz w:val="24"/>
                <w:vertAlign w:val="subscript"/>
              </w:rPr>
              <w:t>2</w:t>
            </w:r>
            <w:r>
              <w:rPr>
                <w:rFonts w:hint="eastAsia" w:cs="宋体"/>
                <w:kern w:val="0"/>
                <w:sz w:val="24"/>
              </w:rPr>
              <w:t>）是一种常见的长石矿物，为三斜晶系的玻璃状</w:t>
            </w:r>
            <w:r>
              <w:fldChar w:fldCharType="begin"/>
            </w:r>
            <w:r>
              <w:instrText xml:space="preserve"> HYPERLINK "https://baike.baidu.com/item/%E6%99%B6%E4%BD%93/944670" \t "https://baike.baidu.com/item/_blank" </w:instrText>
            </w:r>
            <w:r>
              <w:fldChar w:fldCharType="separate"/>
            </w:r>
            <w:r>
              <w:rPr>
                <w:rFonts w:cs="宋体"/>
                <w:kern w:val="0"/>
                <w:sz w:val="24"/>
              </w:rPr>
              <w:t>晶体</w:t>
            </w:r>
            <w:r>
              <w:rPr>
                <w:rFonts w:cs="宋体"/>
                <w:kern w:val="0"/>
                <w:sz w:val="24"/>
              </w:rPr>
              <w:fldChar w:fldCharType="end"/>
            </w:r>
            <w:r>
              <w:rPr>
                <w:rFonts w:cs="宋体"/>
                <w:kern w:val="0"/>
                <w:sz w:val="24"/>
              </w:rPr>
              <w:t>，一般为无色、白色、黄色、红色或黑色。钠长石为架状</w:t>
            </w:r>
            <w:r>
              <w:fldChar w:fldCharType="begin"/>
            </w:r>
            <w:r>
              <w:instrText xml:space="preserve"> HYPERLINK "https://baike.baidu.com/item/%E7%A1%85%E9%85%B8%E7%9B%90" \t "https://baike.baidu.com/item/_blank" </w:instrText>
            </w:r>
            <w:r>
              <w:fldChar w:fldCharType="separate"/>
            </w:r>
            <w:r>
              <w:rPr>
                <w:rFonts w:cs="宋体"/>
                <w:kern w:val="0"/>
                <w:sz w:val="24"/>
              </w:rPr>
              <w:t>硅酸盐</w:t>
            </w:r>
            <w:r>
              <w:rPr>
                <w:rFonts w:cs="宋体"/>
                <w:kern w:val="0"/>
                <w:sz w:val="24"/>
              </w:rPr>
              <w:fldChar w:fldCharType="end"/>
            </w:r>
            <w:r>
              <w:rPr>
                <w:rFonts w:cs="宋体"/>
                <w:kern w:val="0"/>
                <w:sz w:val="24"/>
              </w:rPr>
              <w:t>结构，比重2.62</w:t>
            </w:r>
            <w:r>
              <w:rPr>
                <w:rFonts w:hint="eastAsia" w:cs="宋体"/>
                <w:kern w:val="0"/>
                <w:sz w:val="24"/>
              </w:rPr>
              <w:t>g/cm</w:t>
            </w:r>
            <w:r>
              <w:rPr>
                <w:rFonts w:hint="eastAsia" w:cs="宋体"/>
                <w:kern w:val="0"/>
                <w:sz w:val="24"/>
                <w:vertAlign w:val="superscript"/>
              </w:rPr>
              <w:t>3</w:t>
            </w:r>
            <w:r>
              <w:rPr>
                <w:rFonts w:cs="宋体"/>
                <w:kern w:val="0"/>
                <w:sz w:val="24"/>
              </w:rPr>
              <w:t>，密度为2.61～2.64g/cm</w:t>
            </w:r>
            <w:r>
              <w:rPr>
                <w:rFonts w:cs="宋体"/>
                <w:kern w:val="0"/>
                <w:sz w:val="24"/>
                <w:vertAlign w:val="superscript"/>
              </w:rPr>
              <w:t>3</w:t>
            </w:r>
            <w:r>
              <w:rPr>
                <w:rFonts w:cs="宋体"/>
                <w:kern w:val="0"/>
                <w:sz w:val="24"/>
              </w:rPr>
              <w:t>，熔点为1100℃左右</w:t>
            </w:r>
            <w:r>
              <w:rPr>
                <w:rFonts w:hint="eastAsia" w:cs="宋体"/>
                <w:kern w:val="0"/>
                <w:sz w:val="24"/>
              </w:rPr>
              <w:t>，</w:t>
            </w:r>
            <w:r>
              <w:fldChar w:fldCharType="begin"/>
            </w:r>
            <w:r>
              <w:instrText xml:space="preserve"> HYPERLINK "https://baike.baidu.com/item/%E8%8E%AB%E6%B0%8F%E7%A1%AC%E5%BA%A6/1605832" \t "https://baike.baidu.com/item/_blank" </w:instrText>
            </w:r>
            <w:r>
              <w:fldChar w:fldCharType="separate"/>
            </w:r>
            <w:r>
              <w:rPr>
                <w:rFonts w:cs="宋体"/>
                <w:kern w:val="0"/>
                <w:sz w:val="24"/>
              </w:rPr>
              <w:t>硬度</w:t>
            </w:r>
            <w:r>
              <w:rPr>
                <w:rFonts w:cs="宋体"/>
                <w:kern w:val="0"/>
                <w:sz w:val="24"/>
              </w:rPr>
              <w:fldChar w:fldCharType="end"/>
            </w:r>
            <w:r>
              <w:rPr>
                <w:rFonts w:cs="宋体"/>
                <w:kern w:val="0"/>
                <w:sz w:val="24"/>
              </w:rPr>
              <w:t>为6-6.5。</w:t>
            </w:r>
            <w:r>
              <w:rPr>
                <w:rFonts w:hint="eastAsia" w:cs="宋体"/>
                <w:kern w:val="0"/>
                <w:sz w:val="24"/>
              </w:rPr>
              <w:t>主要成分为</w:t>
            </w:r>
            <w:r>
              <w:rPr>
                <w:rFonts w:cs="宋体"/>
                <w:kern w:val="0"/>
                <w:sz w:val="24"/>
              </w:rPr>
              <w:t>Na</w:t>
            </w:r>
            <w:r>
              <w:rPr>
                <w:rFonts w:cs="宋体"/>
                <w:kern w:val="0"/>
                <w:sz w:val="24"/>
                <w:vertAlign w:val="subscript"/>
              </w:rPr>
              <w:t>2</w:t>
            </w:r>
            <w:r>
              <w:rPr>
                <w:rFonts w:cs="宋体"/>
                <w:kern w:val="0"/>
                <w:sz w:val="24"/>
              </w:rPr>
              <w:t>O</w:t>
            </w:r>
            <w:r>
              <w:rPr>
                <w:rFonts w:hint="eastAsia" w:cs="宋体"/>
                <w:kern w:val="0"/>
                <w:sz w:val="24"/>
              </w:rPr>
              <w:t>、</w:t>
            </w:r>
            <w:r>
              <w:rPr>
                <w:rFonts w:cs="宋体"/>
                <w:kern w:val="0"/>
                <w:sz w:val="24"/>
              </w:rPr>
              <w:t>Al</w:t>
            </w:r>
            <w:r>
              <w:rPr>
                <w:rFonts w:cs="宋体"/>
                <w:kern w:val="0"/>
                <w:sz w:val="24"/>
                <w:vertAlign w:val="subscript"/>
              </w:rPr>
              <w:t>2</w:t>
            </w:r>
            <w:r>
              <w:rPr>
                <w:rFonts w:cs="宋体"/>
                <w:kern w:val="0"/>
                <w:sz w:val="24"/>
              </w:rPr>
              <w:t>O</w:t>
            </w:r>
            <w:r>
              <w:rPr>
                <w:rFonts w:cs="宋体"/>
                <w:kern w:val="0"/>
                <w:sz w:val="24"/>
                <w:vertAlign w:val="subscript"/>
              </w:rPr>
              <w:t>3</w:t>
            </w:r>
            <w:r>
              <w:rPr>
                <w:rFonts w:hint="eastAsia" w:cs="宋体"/>
                <w:kern w:val="0"/>
                <w:sz w:val="24"/>
              </w:rPr>
              <w:t>、</w:t>
            </w:r>
            <w:r>
              <w:rPr>
                <w:rFonts w:cs="宋体"/>
                <w:kern w:val="0"/>
                <w:sz w:val="24"/>
              </w:rPr>
              <w:t>SiO</w:t>
            </w:r>
            <w:r>
              <w:rPr>
                <w:rFonts w:cs="宋体"/>
                <w:kern w:val="0"/>
                <w:sz w:val="24"/>
                <w:vertAlign w:val="subscript"/>
              </w:rPr>
              <w:t>2</w:t>
            </w:r>
            <w:r>
              <w:rPr>
                <w:rFonts w:hint="eastAsia" w:cs="宋体"/>
                <w:kern w:val="0"/>
                <w:sz w:val="24"/>
              </w:rPr>
              <w:t>等。钠长石主要用于制造陶瓷、肥皂、瓷砖、地板砖、</w:t>
            </w:r>
            <w:r>
              <w:fldChar w:fldCharType="begin"/>
            </w:r>
            <w:r>
              <w:instrText xml:space="preserve"> HYPERLINK "https://baike.baidu.com/item/%E7%8E%BB%E7%92%83/287" \t "https://baike.baidu.com/item/_blank" </w:instrText>
            </w:r>
            <w:r>
              <w:fldChar w:fldCharType="separate"/>
            </w:r>
            <w:r>
              <w:rPr>
                <w:rFonts w:cs="宋体"/>
                <w:kern w:val="0"/>
                <w:sz w:val="24"/>
              </w:rPr>
              <w:t>玻璃</w:t>
            </w:r>
            <w:r>
              <w:rPr>
                <w:rFonts w:cs="宋体"/>
                <w:kern w:val="0"/>
                <w:sz w:val="24"/>
              </w:rPr>
              <w:fldChar w:fldCharType="end"/>
            </w:r>
            <w:r>
              <w:rPr>
                <w:rFonts w:cs="宋体"/>
                <w:kern w:val="0"/>
                <w:sz w:val="24"/>
              </w:rPr>
              <w:t>、磨料磨具等，在陶瓷上主要用于釉料。</w:t>
            </w:r>
          </w:p>
          <w:p>
            <w:pPr>
              <w:numPr>
                <w:ilvl w:val="0"/>
                <w:numId w:val="2"/>
              </w:numPr>
              <w:autoSpaceDE w:val="0"/>
              <w:autoSpaceDN w:val="0"/>
              <w:adjustRightInd w:val="0"/>
              <w:snapToGrid w:val="0"/>
              <w:spacing w:line="360" w:lineRule="auto"/>
              <w:ind w:firstLine="480" w:firstLineChars="200"/>
              <w:rPr>
                <w:rFonts w:cs="宋体"/>
                <w:kern w:val="0"/>
                <w:sz w:val="24"/>
              </w:rPr>
            </w:pPr>
            <w:r>
              <w:rPr>
                <w:rFonts w:hint="eastAsia" w:cs="宋体"/>
                <w:kern w:val="0"/>
                <w:sz w:val="24"/>
              </w:rPr>
              <w:t>碳酸锶</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碳酸锶是一种无机化合物，化学式为SrCO</w:t>
            </w:r>
            <w:r>
              <w:rPr>
                <w:rFonts w:cs="宋体"/>
                <w:kern w:val="0"/>
                <w:sz w:val="24"/>
                <w:vertAlign w:val="subscript"/>
              </w:rPr>
              <w:t>3</w:t>
            </w:r>
            <w:r>
              <w:rPr>
                <w:rFonts w:cs="宋体"/>
                <w:kern w:val="0"/>
                <w:sz w:val="24"/>
              </w:rPr>
              <w:t>，白色粉末或颗粒、无臭无味。硬度3.5，性脆，相对密度3.76</w:t>
            </w:r>
            <w:r>
              <w:rPr>
                <w:rFonts w:hint="eastAsia" w:cs="宋体"/>
                <w:kern w:val="0"/>
                <w:sz w:val="24"/>
              </w:rPr>
              <w:t>g/cm</w:t>
            </w:r>
            <w:r>
              <w:rPr>
                <w:rFonts w:hint="eastAsia" w:cs="宋体"/>
                <w:kern w:val="0"/>
                <w:sz w:val="24"/>
                <w:vertAlign w:val="superscript"/>
              </w:rPr>
              <w:t>3</w:t>
            </w:r>
            <w:r>
              <w:rPr>
                <w:rFonts w:cs="宋体"/>
                <w:kern w:val="0"/>
                <w:sz w:val="24"/>
              </w:rPr>
              <w:t>。</w:t>
            </w:r>
            <w:r>
              <w:rPr>
                <w:rFonts w:hint="eastAsia" w:cs="宋体"/>
                <w:kern w:val="0"/>
                <w:sz w:val="24"/>
              </w:rPr>
              <w:t>主要成分为SrO、CO</w:t>
            </w:r>
            <w:r>
              <w:rPr>
                <w:rFonts w:cs="宋体"/>
                <w:kern w:val="0"/>
                <w:sz w:val="24"/>
                <w:vertAlign w:val="subscript"/>
              </w:rPr>
              <w:t>2</w:t>
            </w:r>
            <w:r>
              <w:rPr>
                <w:rFonts w:hint="eastAsia" w:cs="宋体"/>
                <w:kern w:val="0"/>
                <w:sz w:val="24"/>
              </w:rPr>
              <w:t>、</w:t>
            </w:r>
            <w:r>
              <w:rPr>
                <w:rFonts w:cs="宋体"/>
                <w:kern w:val="0"/>
                <w:sz w:val="24"/>
              </w:rPr>
              <w:t>锰、钡</w:t>
            </w:r>
            <w:r>
              <w:rPr>
                <w:rFonts w:hint="eastAsia" w:cs="宋体"/>
                <w:kern w:val="0"/>
                <w:sz w:val="24"/>
              </w:rPr>
              <w:t>、</w:t>
            </w:r>
            <w:r>
              <w:rPr>
                <w:rFonts w:cs="宋体"/>
                <w:kern w:val="0"/>
                <w:sz w:val="24"/>
              </w:rPr>
              <w:t>钙。溶于稀盐酸，产生气泡。</w:t>
            </w:r>
            <w:r>
              <w:rPr>
                <w:rFonts w:hint="eastAsia" w:cs="宋体"/>
                <w:color w:val="FF0000"/>
                <w:kern w:val="0"/>
                <w:sz w:val="24"/>
              </w:rPr>
              <w:t>吸入锶化合物粉尘，能引起两肺中度弥漫性间质改变。最高容许浓度为6mg/m</w:t>
            </w:r>
            <w:r>
              <w:rPr>
                <w:rFonts w:hint="eastAsia" w:cs="宋体"/>
                <w:color w:val="FF0000"/>
                <w:kern w:val="0"/>
                <w:sz w:val="24"/>
                <w:vertAlign w:val="superscript"/>
              </w:rPr>
              <w:t>3</w:t>
            </w:r>
            <w:r>
              <w:rPr>
                <w:rFonts w:hint="eastAsia" w:cs="宋体"/>
                <w:color w:val="FF0000"/>
                <w:kern w:val="0"/>
                <w:sz w:val="24"/>
              </w:rPr>
              <w:t>。</w:t>
            </w:r>
            <w:r>
              <w:rPr>
                <w:rFonts w:cs="宋体"/>
                <w:kern w:val="0"/>
                <w:sz w:val="24"/>
              </w:rPr>
              <w:t>主要用于玻壳玻璃，</w:t>
            </w:r>
            <w:r>
              <w:fldChar w:fldCharType="begin"/>
            </w:r>
            <w:r>
              <w:instrText xml:space="preserve"> HYPERLINK "https://baike.baidu.com/item/%E7%A3%81%E6%80%A7%E6%9D%90%E6%96%99/1116212" \t "https://baike.baidu.com/item/_blank" </w:instrText>
            </w:r>
            <w:r>
              <w:fldChar w:fldCharType="separate"/>
            </w:r>
            <w:r>
              <w:rPr>
                <w:rFonts w:cs="宋体"/>
                <w:kern w:val="0"/>
                <w:sz w:val="24"/>
              </w:rPr>
              <w:t>磁性材料</w:t>
            </w:r>
            <w:r>
              <w:rPr>
                <w:rFonts w:cs="宋体"/>
                <w:kern w:val="0"/>
                <w:sz w:val="24"/>
              </w:rPr>
              <w:fldChar w:fldCharType="end"/>
            </w:r>
            <w:r>
              <w:rPr>
                <w:rFonts w:cs="宋体"/>
                <w:kern w:val="0"/>
                <w:sz w:val="24"/>
              </w:rPr>
              <w:t>，金属冶炼，锶盐制备，</w:t>
            </w:r>
            <w:r>
              <w:fldChar w:fldCharType="begin"/>
            </w:r>
            <w:r>
              <w:instrText xml:space="preserve"> HYPERLINK "https://baike.baidu.com/item/%E7%94%B5%E5%AD%90%E5%85%83%E4%BB%B6/807020" \t "https://baike.baidu.com/item/_blank" </w:instrText>
            </w:r>
            <w:r>
              <w:fldChar w:fldCharType="separate"/>
            </w:r>
            <w:r>
              <w:rPr>
                <w:rFonts w:cs="宋体"/>
                <w:kern w:val="0"/>
                <w:sz w:val="24"/>
              </w:rPr>
              <w:t>电子元件</w:t>
            </w:r>
            <w:r>
              <w:rPr>
                <w:rFonts w:cs="宋体"/>
                <w:kern w:val="0"/>
                <w:sz w:val="24"/>
              </w:rPr>
              <w:fldChar w:fldCharType="end"/>
            </w:r>
            <w:r>
              <w:rPr>
                <w:rFonts w:cs="宋体"/>
                <w:kern w:val="0"/>
                <w:sz w:val="24"/>
              </w:rPr>
              <w:t>，焰火。</w:t>
            </w:r>
          </w:p>
          <w:p>
            <w:pPr>
              <w:numPr>
                <w:ilvl w:val="0"/>
                <w:numId w:val="2"/>
              </w:numPr>
              <w:autoSpaceDE w:val="0"/>
              <w:autoSpaceDN w:val="0"/>
              <w:adjustRightInd w:val="0"/>
              <w:snapToGrid w:val="0"/>
              <w:spacing w:line="360" w:lineRule="auto"/>
              <w:ind w:firstLine="480" w:firstLineChars="200"/>
              <w:rPr>
                <w:rFonts w:cs="宋体"/>
                <w:kern w:val="0"/>
                <w:sz w:val="24"/>
              </w:rPr>
            </w:pPr>
            <w:r>
              <w:rPr>
                <w:rFonts w:hint="eastAsia" w:cs="宋体"/>
                <w:kern w:val="0"/>
                <w:sz w:val="24"/>
              </w:rPr>
              <w:t>碳酸钡</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碳酸钡是一种</w:t>
            </w:r>
            <w:r>
              <w:fldChar w:fldCharType="begin"/>
            </w:r>
            <w:r>
              <w:instrText xml:space="preserve"> HYPERLINK "https://baike.baidu.com/item/%E6%97%A0%E6%9C%BA%E5%8C%96%E5%90%88%E7%89%A9/10716655" \t "https://baike.baidu.com/item/_blank" </w:instrText>
            </w:r>
            <w:r>
              <w:fldChar w:fldCharType="separate"/>
            </w:r>
            <w:r>
              <w:rPr>
                <w:rFonts w:cs="宋体"/>
                <w:kern w:val="0"/>
                <w:sz w:val="24"/>
              </w:rPr>
              <w:t>无机化合物</w:t>
            </w:r>
            <w:r>
              <w:rPr>
                <w:rFonts w:cs="宋体"/>
                <w:kern w:val="0"/>
                <w:sz w:val="24"/>
              </w:rPr>
              <w:fldChar w:fldCharType="end"/>
            </w:r>
            <w:r>
              <w:rPr>
                <w:rFonts w:cs="宋体"/>
                <w:kern w:val="0"/>
                <w:sz w:val="24"/>
              </w:rPr>
              <w:t>，分子式为BaCO</w:t>
            </w:r>
            <w:r>
              <w:rPr>
                <w:rFonts w:cs="宋体"/>
                <w:kern w:val="0"/>
                <w:sz w:val="24"/>
                <w:vertAlign w:val="subscript"/>
              </w:rPr>
              <w:t>3</w:t>
            </w:r>
            <w:r>
              <w:rPr>
                <w:rFonts w:cs="宋体"/>
                <w:kern w:val="0"/>
                <w:sz w:val="24"/>
              </w:rPr>
              <w:t>。白色</w:t>
            </w:r>
            <w:r>
              <w:rPr>
                <w:rFonts w:hint="eastAsia" w:cs="宋体"/>
                <w:kern w:val="0"/>
                <w:sz w:val="24"/>
              </w:rPr>
              <w:t>斜方结晶或</w:t>
            </w:r>
            <w:r>
              <w:rPr>
                <w:rFonts w:cs="宋体"/>
                <w:kern w:val="0"/>
                <w:sz w:val="24"/>
              </w:rPr>
              <w:t>粉末，难溶于水，易溶于</w:t>
            </w:r>
            <w:r>
              <w:fldChar w:fldCharType="begin"/>
            </w:r>
            <w:r>
              <w:instrText xml:space="preserve"> HYPERLINK "https://baike.baidu.com/item/%E5%BC%BA%E9%85%B8/10424255" \t "https://baike.baidu.com/item/_blank" </w:instrText>
            </w:r>
            <w:r>
              <w:fldChar w:fldCharType="separate"/>
            </w:r>
            <w:r>
              <w:rPr>
                <w:rFonts w:cs="宋体"/>
                <w:kern w:val="0"/>
                <w:sz w:val="24"/>
              </w:rPr>
              <w:t>强酸</w:t>
            </w:r>
            <w:r>
              <w:rPr>
                <w:rFonts w:cs="宋体"/>
                <w:kern w:val="0"/>
                <w:sz w:val="24"/>
              </w:rPr>
              <w:fldChar w:fldCharType="end"/>
            </w:r>
            <w:r>
              <w:rPr>
                <w:rFonts w:hint="eastAsia" w:cs="宋体"/>
                <w:kern w:val="0"/>
                <w:sz w:val="24"/>
              </w:rPr>
              <w:t>，</w:t>
            </w:r>
            <w:r>
              <w:rPr>
                <w:rFonts w:cs="宋体"/>
                <w:kern w:val="0"/>
                <w:sz w:val="24"/>
              </w:rPr>
              <w:t>有毒</w:t>
            </w:r>
            <w:r>
              <w:rPr>
                <w:rFonts w:hint="eastAsia" w:cs="宋体"/>
                <w:kern w:val="0"/>
                <w:sz w:val="24"/>
              </w:rPr>
              <w:t>。</w:t>
            </w:r>
            <w:r>
              <w:rPr>
                <w:rFonts w:cs="宋体"/>
                <w:kern w:val="0"/>
                <w:sz w:val="24"/>
              </w:rPr>
              <w:t>密度4.43</w:t>
            </w:r>
            <w:r>
              <w:rPr>
                <w:rFonts w:hint="eastAsia" w:cs="宋体"/>
                <w:kern w:val="0"/>
                <w:sz w:val="24"/>
              </w:rPr>
              <w:t>g/cm</w:t>
            </w:r>
            <w:r>
              <w:rPr>
                <w:rFonts w:hint="eastAsia" w:cs="宋体"/>
                <w:kern w:val="0"/>
                <w:sz w:val="24"/>
                <w:vertAlign w:val="superscript"/>
              </w:rPr>
              <w:t>3</w:t>
            </w:r>
            <w:r>
              <w:rPr>
                <w:rFonts w:cs="宋体"/>
                <w:kern w:val="0"/>
                <w:sz w:val="24"/>
              </w:rPr>
              <w:t>，熔点1740℃（8820千帕-90大气压）。1450℃分解，放出</w:t>
            </w:r>
            <w:r>
              <w:fldChar w:fldCharType="begin"/>
            </w:r>
            <w:r>
              <w:instrText xml:space="preserve"> HYPERLINK "https://baike.baidu.com/item/%E4%BA%8C%E6%B0%A7%E5%8C%96%E7%A2%B3" \t "https://baike.baidu.com/item/_blank" </w:instrText>
            </w:r>
            <w:r>
              <w:fldChar w:fldCharType="separate"/>
            </w:r>
            <w:r>
              <w:rPr>
                <w:rFonts w:cs="宋体"/>
                <w:kern w:val="0"/>
                <w:sz w:val="24"/>
              </w:rPr>
              <w:t>二氧化碳</w:t>
            </w:r>
            <w:r>
              <w:rPr>
                <w:rFonts w:cs="宋体"/>
                <w:kern w:val="0"/>
                <w:sz w:val="24"/>
              </w:rPr>
              <w:fldChar w:fldCharType="end"/>
            </w:r>
            <w:r>
              <w:rPr>
                <w:rFonts w:cs="宋体"/>
                <w:kern w:val="0"/>
                <w:sz w:val="24"/>
              </w:rPr>
              <w:t>。微溶于含有二氧化碳的水，也溶于</w:t>
            </w:r>
            <w:r>
              <w:fldChar w:fldCharType="begin"/>
            </w:r>
            <w:r>
              <w:instrText xml:space="preserve"> HYPERLINK "https://baike.baidu.com/item/%E6%B0%AF%E5%8C%96%E9%93%B5" \t "https://baike.baidu.com/item/_blank" </w:instrText>
            </w:r>
            <w:r>
              <w:fldChar w:fldCharType="separate"/>
            </w:r>
            <w:r>
              <w:rPr>
                <w:rFonts w:cs="宋体"/>
                <w:kern w:val="0"/>
                <w:sz w:val="24"/>
              </w:rPr>
              <w:t>氯化铵</w:t>
            </w:r>
            <w:r>
              <w:rPr>
                <w:rFonts w:cs="宋体"/>
                <w:kern w:val="0"/>
                <w:sz w:val="24"/>
              </w:rPr>
              <w:fldChar w:fldCharType="end"/>
            </w:r>
            <w:r>
              <w:rPr>
                <w:rFonts w:cs="宋体"/>
                <w:kern w:val="0"/>
                <w:sz w:val="24"/>
              </w:rPr>
              <w:t>或</w:t>
            </w:r>
            <w:r>
              <w:fldChar w:fldCharType="begin"/>
            </w:r>
            <w:r>
              <w:instrText xml:space="preserve"> HYPERLINK "https://baike.baidu.com/item/%E7%A1%9D%E9%85%B8%E9%93%B5" \t "https://baike.baidu.com/item/_blank" </w:instrText>
            </w:r>
            <w:r>
              <w:fldChar w:fldCharType="separate"/>
            </w:r>
            <w:r>
              <w:rPr>
                <w:rFonts w:cs="宋体"/>
                <w:kern w:val="0"/>
                <w:sz w:val="24"/>
              </w:rPr>
              <w:t>硝酸铵</w:t>
            </w:r>
            <w:r>
              <w:rPr>
                <w:rFonts w:cs="宋体"/>
                <w:kern w:val="0"/>
                <w:sz w:val="24"/>
              </w:rPr>
              <w:fldChar w:fldCharType="end"/>
            </w:r>
            <w:r>
              <w:rPr>
                <w:rFonts w:cs="宋体"/>
                <w:kern w:val="0"/>
                <w:sz w:val="24"/>
              </w:rPr>
              <w:t>溶液生成</w:t>
            </w:r>
            <w:r>
              <w:fldChar w:fldCharType="begin"/>
            </w:r>
            <w:r>
              <w:instrText xml:space="preserve"> HYPERLINK "https://baike.baidu.com/item/%E7%BB%9C%E5%90%88%E7%89%A9" \t "https://baike.baidu.com/item/_blank" </w:instrText>
            </w:r>
            <w:r>
              <w:fldChar w:fldCharType="separate"/>
            </w:r>
            <w:r>
              <w:rPr>
                <w:rFonts w:cs="宋体"/>
                <w:kern w:val="0"/>
                <w:sz w:val="24"/>
              </w:rPr>
              <w:t>络合物</w:t>
            </w:r>
            <w:r>
              <w:rPr>
                <w:rFonts w:cs="宋体"/>
                <w:kern w:val="0"/>
                <w:sz w:val="24"/>
              </w:rPr>
              <w:fldChar w:fldCharType="end"/>
            </w:r>
            <w:r>
              <w:rPr>
                <w:rFonts w:cs="宋体"/>
                <w:kern w:val="0"/>
                <w:sz w:val="24"/>
              </w:rPr>
              <w:t>，溶于</w:t>
            </w:r>
            <w:r>
              <w:fldChar w:fldCharType="begin"/>
            </w:r>
            <w:r>
              <w:instrText xml:space="preserve"> HYPERLINK "https://baike.baidu.com/item/%E7%9B%90%E9%85%B8" \t "https://baike.baidu.com/item/_blank" </w:instrText>
            </w:r>
            <w:r>
              <w:fldChar w:fldCharType="separate"/>
            </w:r>
            <w:r>
              <w:rPr>
                <w:rFonts w:cs="宋体"/>
                <w:kern w:val="0"/>
                <w:sz w:val="24"/>
              </w:rPr>
              <w:t>盐酸</w:t>
            </w:r>
            <w:r>
              <w:rPr>
                <w:rFonts w:cs="宋体"/>
                <w:kern w:val="0"/>
                <w:sz w:val="24"/>
              </w:rPr>
              <w:fldChar w:fldCharType="end"/>
            </w:r>
            <w:r>
              <w:rPr>
                <w:rFonts w:cs="宋体"/>
                <w:kern w:val="0"/>
                <w:sz w:val="24"/>
              </w:rPr>
              <w:t>、</w:t>
            </w:r>
            <w:r>
              <w:fldChar w:fldCharType="begin"/>
            </w:r>
            <w:r>
              <w:instrText xml:space="preserve"> HYPERLINK "https://baike.baidu.com/item/%E7%A1%9D%E9%85%B8" \t "https://baike.baidu.com/item/_blank" </w:instrText>
            </w:r>
            <w:r>
              <w:fldChar w:fldCharType="separate"/>
            </w:r>
            <w:r>
              <w:rPr>
                <w:rFonts w:cs="宋体"/>
                <w:kern w:val="0"/>
                <w:sz w:val="24"/>
              </w:rPr>
              <w:t>硝酸</w:t>
            </w:r>
            <w:r>
              <w:rPr>
                <w:rFonts w:cs="宋体"/>
                <w:kern w:val="0"/>
                <w:sz w:val="24"/>
              </w:rPr>
              <w:fldChar w:fldCharType="end"/>
            </w:r>
            <w:r>
              <w:rPr>
                <w:rFonts w:cs="宋体"/>
                <w:kern w:val="0"/>
                <w:sz w:val="24"/>
              </w:rPr>
              <w:t>放出二氧化碳。</w:t>
            </w:r>
            <w:r>
              <w:rPr>
                <w:rFonts w:hint="eastAsia" w:cs="宋体"/>
                <w:kern w:val="0"/>
                <w:sz w:val="24"/>
              </w:rPr>
              <w:t>主要</w:t>
            </w:r>
            <w:r>
              <w:rPr>
                <w:rFonts w:cs="宋体"/>
                <w:kern w:val="0"/>
                <w:sz w:val="24"/>
              </w:rPr>
              <w:t>用于电子、仪表、冶金工业</w:t>
            </w:r>
            <w:r>
              <w:rPr>
                <w:rFonts w:hint="eastAsia" w:cs="宋体"/>
                <w:kern w:val="0"/>
                <w:sz w:val="24"/>
              </w:rPr>
              <w:t>，</w:t>
            </w:r>
            <w:r>
              <w:rPr>
                <w:rFonts w:cs="宋体"/>
                <w:kern w:val="0"/>
                <w:sz w:val="24"/>
              </w:rPr>
              <w:t>配制</w:t>
            </w:r>
            <w:r>
              <w:fldChar w:fldCharType="begin"/>
            </w:r>
            <w:r>
              <w:instrText xml:space="preserve"> HYPERLINK "https://baike.baidu.com/item/%E7%84%B0%E7%81%AB/9788456" \t "https://baike.baidu.com/item/_blank" </w:instrText>
            </w:r>
            <w:r>
              <w:fldChar w:fldCharType="separate"/>
            </w:r>
            <w:r>
              <w:rPr>
                <w:rFonts w:cs="宋体"/>
                <w:kern w:val="0"/>
                <w:sz w:val="24"/>
              </w:rPr>
              <w:t>焰火</w:t>
            </w:r>
            <w:r>
              <w:rPr>
                <w:rFonts w:cs="宋体"/>
                <w:kern w:val="0"/>
                <w:sz w:val="24"/>
              </w:rPr>
              <w:fldChar w:fldCharType="end"/>
            </w:r>
            <w:r>
              <w:rPr>
                <w:rFonts w:cs="宋体"/>
                <w:kern w:val="0"/>
                <w:sz w:val="24"/>
              </w:rPr>
              <w:t>，制</w:t>
            </w:r>
            <w:r>
              <w:fldChar w:fldCharType="begin"/>
            </w:r>
            <w:r>
              <w:instrText xml:space="preserve"> HYPERLINK "https://baike.baidu.com/item/%E4%BF%A1%E5%8F%B7%E5%BC%B9/1215722" \t "https://baike.baidu.com/item/_blank" </w:instrText>
            </w:r>
            <w:r>
              <w:fldChar w:fldCharType="separate"/>
            </w:r>
            <w:r>
              <w:rPr>
                <w:rFonts w:cs="宋体"/>
                <w:kern w:val="0"/>
                <w:sz w:val="24"/>
              </w:rPr>
              <w:t>信号弹</w:t>
            </w:r>
            <w:r>
              <w:rPr>
                <w:rFonts w:cs="宋体"/>
                <w:kern w:val="0"/>
                <w:sz w:val="24"/>
              </w:rPr>
              <w:fldChar w:fldCharType="end"/>
            </w:r>
            <w:r>
              <w:rPr>
                <w:rFonts w:cs="宋体"/>
                <w:kern w:val="0"/>
                <w:sz w:val="24"/>
              </w:rPr>
              <w:t>，</w:t>
            </w:r>
            <w:r>
              <w:fldChar w:fldCharType="begin"/>
            </w:r>
            <w:r>
              <w:instrText xml:space="preserve"> HYPERLINK "https://baike.baidu.com/item/%E9%99%B6%E7%93%B7%E6%B6%82%E6%96%99" \t "https://baike.baidu.com/item/_blank" </w:instrText>
            </w:r>
            <w:r>
              <w:fldChar w:fldCharType="separate"/>
            </w:r>
            <w:r>
              <w:rPr>
                <w:rFonts w:cs="宋体"/>
                <w:kern w:val="0"/>
                <w:sz w:val="24"/>
              </w:rPr>
              <w:t>陶瓷涂料</w:t>
            </w:r>
            <w:r>
              <w:rPr>
                <w:rFonts w:cs="宋体"/>
                <w:kern w:val="0"/>
                <w:sz w:val="24"/>
              </w:rPr>
              <w:fldChar w:fldCharType="end"/>
            </w:r>
            <w:r>
              <w:rPr>
                <w:rFonts w:cs="宋体"/>
                <w:kern w:val="0"/>
                <w:sz w:val="24"/>
              </w:rPr>
              <w:t>，制光学玻璃的辅料</w:t>
            </w:r>
            <w:r>
              <w:rPr>
                <w:rFonts w:hint="eastAsia" w:cs="宋体"/>
                <w:kern w:val="0"/>
                <w:sz w:val="24"/>
              </w:rPr>
              <w:t>；</w:t>
            </w:r>
            <w:r>
              <w:rPr>
                <w:rFonts w:cs="宋体"/>
                <w:kern w:val="0"/>
                <w:sz w:val="24"/>
              </w:rPr>
              <w:t>还用作杀鼠药、水澄清剂和填料。</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5 平面布置</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本项目位于鲁山县产业集聚区北区，租用平顶山市银地源实业有限公司和平顶山市唐保耐火材料有限公司部分用地进行建设，厂区内地势平坦。厂区一条南北主干道将厂区分为东西两部分，西侧主要为生活区、东侧为生产区。厂房集中在东侧靠中间位置进行建设，由北向南依次布置有成品库、烘干车间、原料库、生产车间、压</w:t>
            </w:r>
            <w:r>
              <w:rPr>
                <w:rFonts w:hint="eastAsia" w:cs="宋体"/>
                <w:kern w:val="0"/>
                <w:sz w:val="24"/>
                <w:lang w:val="en-US" w:eastAsia="zh-CN"/>
              </w:rPr>
              <w:t>滤</w:t>
            </w:r>
            <w:r>
              <w:rPr>
                <w:rFonts w:hint="eastAsia" w:cs="宋体"/>
                <w:kern w:val="0"/>
                <w:sz w:val="24"/>
              </w:rPr>
              <w:t>车间，厂区内各生产单元布局紧凑。厂区大门设置在西南侧，连接厂区西侧现有道路（梁张路），方便运输物料车辆进出厂区。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eastAsia" w:ascii="Times New Roman" w:hAnsi="Times New Roman" w:cs="宋体"/>
                <w:b/>
                <w:bCs/>
                <w:kern w:val="0"/>
                <w:sz w:val="24"/>
                <w:szCs w:val="24"/>
                <w:u w:val="single"/>
                <w:lang w:val="en-US" w:eastAsia="zh-CN"/>
              </w:rPr>
            </w:pPr>
            <w:r>
              <w:rPr>
                <w:rFonts w:hint="eastAsia" w:ascii="Times New Roman" w:hAnsi="Times New Roman" w:cs="宋体"/>
                <w:b/>
                <w:bCs/>
                <w:kern w:val="0"/>
                <w:sz w:val="24"/>
                <w:szCs w:val="24"/>
                <w:u w:val="single"/>
                <w:lang w:val="en-US" w:eastAsia="zh-CN"/>
              </w:rPr>
              <w:t>本项目原料库占地面积</w:t>
            </w:r>
            <w:r>
              <w:rPr>
                <w:rFonts w:hint="eastAsia" w:ascii="Times New Roman" w:hAnsi="Times New Roman" w:cs="宋体"/>
                <w:b/>
                <w:bCs/>
                <w:color w:val="auto"/>
                <w:kern w:val="0"/>
                <w:sz w:val="24"/>
                <w:szCs w:val="24"/>
                <w:u w:val="single"/>
                <w:lang w:val="en-US" w:eastAsia="zh-CN"/>
              </w:rPr>
              <w:t>3360m</w:t>
            </w:r>
            <w:r>
              <w:rPr>
                <w:rFonts w:hint="eastAsia" w:ascii="Times New Roman" w:hAnsi="Times New Roman" w:cs="宋体"/>
                <w:b/>
                <w:bCs/>
                <w:color w:val="auto"/>
                <w:kern w:val="0"/>
                <w:sz w:val="24"/>
                <w:szCs w:val="24"/>
                <w:u w:val="single"/>
                <w:vertAlign w:val="superscript"/>
                <w:lang w:val="en-US" w:eastAsia="zh-CN"/>
              </w:rPr>
              <w:t>2</w:t>
            </w:r>
            <w:r>
              <w:rPr>
                <w:rFonts w:hint="eastAsia" w:ascii="Times New Roman" w:hAnsi="Times New Roman" w:cs="宋体"/>
                <w:b/>
                <w:bCs/>
                <w:kern w:val="0"/>
                <w:sz w:val="24"/>
                <w:szCs w:val="24"/>
                <w:u w:val="single"/>
                <w:lang w:val="en-US" w:eastAsia="zh-CN"/>
              </w:rPr>
              <w:t>，高9m，有效堆存容积</w:t>
            </w:r>
            <w:r>
              <w:rPr>
                <w:rFonts w:hint="eastAsia" w:ascii="Times New Roman" w:hAnsi="Times New Roman" w:cs="宋体"/>
                <w:b/>
                <w:bCs/>
                <w:color w:val="auto"/>
                <w:kern w:val="0"/>
                <w:sz w:val="24"/>
                <w:szCs w:val="24"/>
                <w:u w:val="single"/>
                <w:lang w:val="en-US" w:eastAsia="zh-CN"/>
              </w:rPr>
              <w:t>10080m</w:t>
            </w:r>
            <w:r>
              <w:rPr>
                <w:rFonts w:hint="eastAsia" w:ascii="Times New Roman" w:hAnsi="Times New Roman" w:cs="宋体"/>
                <w:b/>
                <w:bCs/>
                <w:color w:val="auto"/>
                <w:kern w:val="0"/>
                <w:sz w:val="24"/>
                <w:szCs w:val="24"/>
                <w:u w:val="single"/>
                <w:vertAlign w:val="superscript"/>
                <w:lang w:val="en-US" w:eastAsia="zh-CN"/>
              </w:rPr>
              <w:t>3</w:t>
            </w:r>
            <w:r>
              <w:rPr>
                <w:rFonts w:hint="eastAsia" w:ascii="Times New Roman" w:hAnsi="Times New Roman" w:cs="宋体"/>
                <w:b/>
                <w:bCs/>
                <w:color w:val="auto"/>
                <w:kern w:val="0"/>
                <w:sz w:val="24"/>
                <w:szCs w:val="24"/>
                <w:u w:val="single"/>
                <w:lang w:val="en-US" w:eastAsia="zh-CN"/>
              </w:rPr>
              <w:t>。项目原料量共计</w:t>
            </w:r>
            <w:r>
              <w:rPr>
                <w:rFonts w:hint="eastAsia" w:cs="宋体"/>
                <w:b/>
                <w:bCs/>
                <w:color w:val="auto"/>
                <w:kern w:val="0"/>
                <w:sz w:val="24"/>
                <w:szCs w:val="24"/>
                <w:u w:val="single"/>
                <w:lang w:val="en-US" w:eastAsia="zh-CN"/>
              </w:rPr>
              <w:t>94288.04</w:t>
            </w:r>
            <w:r>
              <w:rPr>
                <w:rFonts w:hint="eastAsia" w:ascii="Times New Roman" w:hAnsi="Times New Roman" w:cs="宋体"/>
                <w:b/>
                <w:bCs/>
                <w:color w:val="auto"/>
                <w:kern w:val="0"/>
                <w:sz w:val="24"/>
                <w:szCs w:val="24"/>
                <w:u w:val="single"/>
                <w:lang w:val="en-US" w:eastAsia="zh-CN"/>
              </w:rPr>
              <w:t>t/a，</w:t>
            </w:r>
            <w:r>
              <w:rPr>
                <w:rFonts w:hint="eastAsia" w:cs="宋体"/>
                <w:b/>
                <w:bCs/>
                <w:color w:val="auto"/>
                <w:kern w:val="0"/>
                <w:sz w:val="24"/>
                <w:szCs w:val="24"/>
                <w:u w:val="single"/>
                <w:lang w:val="en-US" w:eastAsia="zh-CN"/>
              </w:rPr>
              <w:t>151</w:t>
            </w:r>
            <w:r>
              <w:rPr>
                <w:rFonts w:hint="eastAsia" w:ascii="Times New Roman" w:hAnsi="Times New Roman" w:cs="宋体"/>
                <w:b/>
                <w:bCs/>
                <w:color w:val="auto"/>
                <w:kern w:val="0"/>
                <w:sz w:val="24"/>
                <w:szCs w:val="24"/>
                <w:u w:val="single"/>
                <w:lang w:val="en-US" w:eastAsia="zh-CN"/>
              </w:rPr>
              <w:t>m</w:t>
            </w:r>
            <w:r>
              <w:rPr>
                <w:rFonts w:hint="eastAsia" w:ascii="Times New Roman" w:hAnsi="Times New Roman" w:cs="宋体"/>
                <w:b/>
                <w:bCs/>
                <w:color w:val="auto"/>
                <w:kern w:val="0"/>
                <w:sz w:val="24"/>
                <w:szCs w:val="24"/>
                <w:u w:val="single"/>
                <w:vertAlign w:val="superscript"/>
                <w:lang w:val="en-US" w:eastAsia="zh-CN"/>
              </w:rPr>
              <w:t>3</w:t>
            </w:r>
            <w:r>
              <w:rPr>
                <w:rFonts w:hint="eastAsia" w:ascii="Times New Roman" w:hAnsi="Times New Roman" w:cs="宋体"/>
                <w:b/>
                <w:bCs/>
                <w:color w:val="auto"/>
                <w:kern w:val="0"/>
                <w:sz w:val="24"/>
                <w:szCs w:val="24"/>
                <w:u w:val="single"/>
                <w:lang w:val="en-US" w:eastAsia="zh-CN"/>
              </w:rPr>
              <w:t>/d，原料库可以满足</w:t>
            </w:r>
            <w:r>
              <w:rPr>
                <w:rFonts w:hint="eastAsia" w:cs="宋体"/>
                <w:b/>
                <w:bCs/>
                <w:color w:val="auto"/>
                <w:kern w:val="0"/>
                <w:sz w:val="24"/>
                <w:szCs w:val="24"/>
                <w:u w:val="single"/>
                <w:lang w:val="en-US" w:eastAsia="zh-CN"/>
              </w:rPr>
              <w:t>66</w:t>
            </w:r>
            <w:r>
              <w:rPr>
                <w:rFonts w:hint="eastAsia" w:ascii="Times New Roman" w:hAnsi="Times New Roman" w:cs="宋体"/>
                <w:b/>
                <w:bCs/>
                <w:color w:val="auto"/>
                <w:kern w:val="0"/>
                <w:sz w:val="24"/>
                <w:szCs w:val="24"/>
                <w:u w:val="single"/>
                <w:lang w:val="en-US" w:eastAsia="zh-CN"/>
              </w:rPr>
              <w:t>天</w:t>
            </w:r>
            <w:r>
              <w:rPr>
                <w:rFonts w:hint="eastAsia" w:ascii="Times New Roman" w:hAnsi="Times New Roman" w:cs="宋体"/>
                <w:b/>
                <w:bCs/>
                <w:kern w:val="0"/>
                <w:sz w:val="24"/>
                <w:szCs w:val="24"/>
                <w:u w:val="single"/>
                <w:lang w:val="en-US" w:eastAsia="zh-CN"/>
              </w:rPr>
              <w:t>的暂存量，能够保证原料全部堆存在密闭的原料库内。</w:t>
            </w:r>
            <w:r>
              <w:rPr>
                <w:rFonts w:hint="eastAsia" w:ascii="Times New Roman" w:hAnsi="Times New Roman" w:cs="宋体"/>
                <w:b/>
                <w:bCs/>
                <w:color w:val="auto"/>
                <w:kern w:val="0"/>
                <w:sz w:val="24"/>
                <w:szCs w:val="24"/>
                <w:u w:val="single"/>
                <w:lang w:val="en-US" w:eastAsia="zh-CN"/>
              </w:rPr>
              <w:t>本项目成品库占地面积3828㎡，项目产品为袋装，包装规格为50kg/袋，项目产品通过自动打包机包装后堆存在密闭的产品库内。</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lang w:val="en-US" w:eastAsia="zh-CN"/>
              </w:rPr>
              <w:t>厂区内部有30KV高架线通过，根据《</w:t>
            </w:r>
            <w:r>
              <w:rPr>
                <w:rFonts w:hint="default" w:cs="宋体"/>
                <w:kern w:val="0"/>
                <w:sz w:val="24"/>
                <w:lang w:val="en-US" w:eastAsia="zh-CN"/>
              </w:rPr>
              <w:t>电力设施保护条例实施细则</w:t>
            </w:r>
            <w:r>
              <w:rPr>
                <w:rFonts w:hint="eastAsia" w:cs="宋体"/>
                <w:kern w:val="0"/>
                <w:sz w:val="24"/>
                <w:lang w:val="en-US" w:eastAsia="zh-CN"/>
              </w:rPr>
              <w:t>》第五条：架空电力线路保护区，是为了保证已建架空电力线路的安全运行和保障人民生活的正常供电而必须设置的安全区域。在厂矿、城镇、集镇、村庄等人口密集地区，架空电力线路保护区为导线边线在最大计算风偏后的水平距离和风偏后距建筑物的水平安全距离之和所形成的两平行线内的区域。各级电压导线边线在计算导线最大风偏情况下，距建筑物的水平安全距离如下：35KV高架线距建筑物的水平安全距离为3.0m。因此本项目在建设时，需在高架线下导线边线向外侧延伸不小于3m的水平延伸，并垂直于地面所形成的两平行面内的区域不允许建设生产厂房等永久性建（构）筑物。</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因此</w:t>
            </w:r>
            <w:r>
              <w:rPr>
                <w:rFonts w:hint="eastAsia" w:cs="宋体"/>
                <w:kern w:val="0"/>
                <w:sz w:val="24"/>
                <w:lang w:eastAsia="zh-CN"/>
              </w:rPr>
              <w:t>，</w:t>
            </w:r>
            <w:r>
              <w:rPr>
                <w:rFonts w:hint="eastAsia" w:cs="宋体"/>
                <w:kern w:val="0"/>
                <w:sz w:val="24"/>
              </w:rPr>
              <w:t>本项目平面布置合理可行。本项目总平面布置情况见附图三。</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6 劳动定员及工作制度</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本项目劳动定员为120人，其中60人在厂区食宿。实行单班制，每班工作时间8h，</w:t>
            </w:r>
            <w:r>
              <w:rPr>
                <w:sz w:val="24"/>
              </w:rPr>
              <w:t>年</w:t>
            </w:r>
            <w:r>
              <w:rPr>
                <w:rFonts w:hint="eastAsia"/>
                <w:sz w:val="24"/>
              </w:rPr>
              <w:t>工作日250</w:t>
            </w:r>
            <w:r>
              <w:rPr>
                <w:sz w:val="24"/>
              </w:rPr>
              <w:t>天。</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7 公用工程</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（1）供水</w:t>
            </w:r>
          </w:p>
          <w:p>
            <w:pPr>
              <w:autoSpaceDE w:val="0"/>
              <w:autoSpaceDN w:val="0"/>
              <w:adjustRightInd w:val="0"/>
              <w:snapToGrid w:val="0"/>
              <w:spacing w:line="360" w:lineRule="auto"/>
              <w:ind w:firstLine="480" w:firstLineChars="200"/>
              <w:rPr>
                <w:rFonts w:cs="宋体"/>
                <w:color w:val="FF0000"/>
                <w:kern w:val="0"/>
                <w:sz w:val="24"/>
              </w:rPr>
            </w:pPr>
            <w:r>
              <w:rPr>
                <w:rFonts w:hint="eastAsia" w:cs="宋体"/>
                <w:kern w:val="0"/>
                <w:sz w:val="24"/>
              </w:rPr>
              <w:t>本项目生产用水来源为厂区内自备水井，主要为洗矿用水、分筛用水、球磨机用水、电磁除铁用水、喷淋用水、车辆冲洗用水；生活用水来源为鹁鸽吴村集中供水。</w:t>
            </w:r>
            <w:r>
              <w:rPr>
                <w:rFonts w:hint="eastAsia" w:cs="宋体"/>
                <w:color w:val="auto"/>
                <w:kern w:val="0"/>
                <w:sz w:val="24"/>
              </w:rPr>
              <w:t>本项目用水量为27万m</w:t>
            </w:r>
            <w:r>
              <w:rPr>
                <w:rFonts w:hint="eastAsia" w:cs="宋体"/>
                <w:color w:val="auto"/>
                <w:kern w:val="0"/>
                <w:sz w:val="24"/>
                <w:vertAlign w:val="superscript"/>
              </w:rPr>
              <w:t>3</w:t>
            </w:r>
            <w:r>
              <w:rPr>
                <w:rFonts w:hint="eastAsia" w:cs="宋体"/>
                <w:color w:val="auto"/>
                <w:kern w:val="0"/>
                <w:sz w:val="24"/>
              </w:rPr>
              <w:t>/a，其中新鲜水用量为</w:t>
            </w:r>
            <w:r>
              <w:rPr>
                <w:rFonts w:hint="eastAsia" w:cs="宋体"/>
                <w:color w:val="auto"/>
                <w:kern w:val="0"/>
                <w:sz w:val="24"/>
                <w:lang w:val="en-US" w:eastAsia="zh-CN"/>
              </w:rPr>
              <w:t>18747.5</w:t>
            </w:r>
            <w:r>
              <w:rPr>
                <w:rFonts w:hint="eastAsia" w:cs="宋体"/>
                <w:color w:val="auto"/>
                <w:kern w:val="0"/>
                <w:sz w:val="24"/>
              </w:rPr>
              <w:t>m</w:t>
            </w:r>
            <w:r>
              <w:rPr>
                <w:rFonts w:hint="eastAsia" w:cs="宋体"/>
                <w:color w:val="auto"/>
                <w:kern w:val="0"/>
                <w:sz w:val="24"/>
                <w:vertAlign w:val="superscript"/>
              </w:rPr>
              <w:t>3</w:t>
            </w:r>
            <w:r>
              <w:rPr>
                <w:rFonts w:hint="eastAsia" w:cs="宋体"/>
                <w:color w:val="auto"/>
                <w:kern w:val="0"/>
                <w:sz w:val="24"/>
              </w:rPr>
              <w:t>/a，回用水量为</w:t>
            </w:r>
            <w:r>
              <w:rPr>
                <w:rFonts w:hint="eastAsia" w:cs="宋体"/>
                <w:color w:val="auto"/>
                <w:kern w:val="0"/>
                <w:sz w:val="24"/>
                <w:lang w:val="en-US" w:eastAsia="zh-CN"/>
              </w:rPr>
              <w:t>250787.5</w:t>
            </w:r>
            <w:r>
              <w:rPr>
                <w:rFonts w:hint="eastAsia" w:cs="宋体"/>
                <w:color w:val="auto"/>
                <w:kern w:val="0"/>
                <w:sz w:val="24"/>
              </w:rPr>
              <w:t>m</w:t>
            </w:r>
            <w:r>
              <w:rPr>
                <w:rFonts w:hint="eastAsia" w:cs="宋体"/>
                <w:color w:val="auto"/>
                <w:kern w:val="0"/>
                <w:sz w:val="24"/>
                <w:vertAlign w:val="superscript"/>
              </w:rPr>
              <w:t>3</w:t>
            </w:r>
            <w:r>
              <w:rPr>
                <w:rFonts w:hint="eastAsia" w:cs="宋体"/>
                <w:color w:val="auto"/>
                <w:kern w:val="0"/>
                <w:sz w:val="24"/>
              </w:rPr>
              <w:t>/a。</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（2）排水</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本项目厂区内采取雨污分流。</w:t>
            </w:r>
          </w:p>
          <w:p>
            <w:pPr>
              <w:autoSpaceDE w:val="0"/>
              <w:autoSpaceDN w:val="0"/>
              <w:adjustRightInd w:val="0"/>
              <w:snapToGrid w:val="0"/>
              <w:spacing w:line="360" w:lineRule="auto"/>
              <w:ind w:firstLine="480" w:firstLineChars="200"/>
              <w:rPr>
                <w:rFonts w:hint="eastAsia" w:eastAsia="宋体" w:cs="宋体"/>
                <w:kern w:val="0"/>
                <w:sz w:val="24"/>
                <w:lang w:eastAsia="zh-CN"/>
              </w:rPr>
            </w:pPr>
            <w:r>
              <w:rPr>
                <w:rFonts w:hint="eastAsia" w:cs="宋体"/>
                <w:kern w:val="0"/>
                <w:sz w:val="24"/>
              </w:rPr>
              <w:t>在厂区内沿道路两侧、厂房外侧分别设置导流槽，初期雨水通过导流槽汇入初期雨水收集池。</w:t>
            </w:r>
            <w:r>
              <w:rPr>
                <w:rFonts w:hint="eastAsia" w:cs="宋体"/>
                <w:kern w:val="0"/>
                <w:sz w:val="24"/>
                <w:lang w:eastAsia="zh-CN"/>
              </w:rPr>
              <w:t>后期雨水进入集聚区雨水管网排放。</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本项目生产废水经浓缩罐处理后，在储水池暂存，循环使用不外排；</w:t>
            </w:r>
            <w:r>
              <w:rPr>
                <w:rFonts w:hint="eastAsia"/>
                <w:snapToGrid w:val="0"/>
                <w:kern w:val="0"/>
                <w:sz w:val="24"/>
              </w:rPr>
              <w:t>喷淋用水自然蒸发不外排</w:t>
            </w:r>
            <w:r>
              <w:rPr>
                <w:snapToGrid w:val="0"/>
                <w:kern w:val="0"/>
                <w:sz w:val="24"/>
              </w:rPr>
              <w:t>；</w:t>
            </w:r>
            <w:r>
              <w:rPr>
                <w:rFonts w:hint="eastAsia" w:cs="宋体"/>
                <w:kern w:val="0"/>
                <w:sz w:val="24"/>
              </w:rPr>
              <w:t>车辆冲洗废水经设置的沉淀池沉淀后循环使用，不外排。生活废水经化粪池处理后</w:t>
            </w:r>
            <w:r>
              <w:rPr>
                <w:rFonts w:hint="eastAsia" w:cs="宋体"/>
                <w:kern w:val="0"/>
                <w:sz w:val="24"/>
                <w:lang w:eastAsia="zh-CN"/>
              </w:rPr>
              <w:t>由吸粪车运至</w:t>
            </w:r>
            <w:r>
              <w:rPr>
                <w:rFonts w:hint="eastAsia" w:cs="宋体"/>
                <w:kern w:val="0"/>
                <w:sz w:val="24"/>
              </w:rPr>
              <w:t>集聚区污水处理厂处理后，综合利用不外排。</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（3）供电</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本项目用电由鲁山县产业集聚区供给。</w:t>
            </w:r>
          </w:p>
          <w:p>
            <w:pPr>
              <w:numPr>
                <w:ilvl w:val="0"/>
                <w:numId w:val="3"/>
              </w:numPr>
              <w:autoSpaceDE w:val="0"/>
              <w:autoSpaceDN w:val="0"/>
              <w:adjustRightInd w:val="0"/>
              <w:snapToGrid w:val="0"/>
              <w:spacing w:line="360" w:lineRule="auto"/>
              <w:ind w:firstLine="480" w:firstLineChars="200"/>
              <w:rPr>
                <w:rFonts w:cs="宋体"/>
                <w:kern w:val="0"/>
                <w:sz w:val="24"/>
              </w:rPr>
            </w:pPr>
            <w:r>
              <w:rPr>
                <w:rFonts w:hint="eastAsia" w:cs="宋体"/>
                <w:kern w:val="0"/>
                <w:sz w:val="24"/>
              </w:rPr>
              <w:t>供热</w:t>
            </w:r>
          </w:p>
          <w:p>
            <w:pPr>
              <w:autoSpaceDE w:val="0"/>
              <w:autoSpaceDN w:val="0"/>
              <w:adjustRightInd w:val="0"/>
              <w:snapToGrid w:val="0"/>
              <w:spacing w:line="360" w:lineRule="auto"/>
              <w:ind w:firstLine="480" w:firstLineChars="200"/>
              <w:rPr>
                <w:rFonts w:cs="宋体"/>
                <w:kern w:val="0"/>
                <w:sz w:val="24"/>
              </w:rPr>
            </w:pPr>
            <w:r>
              <w:rPr>
                <w:rFonts w:cs="宋体"/>
                <w:kern w:val="0"/>
                <w:sz w:val="24"/>
              </w:rPr>
              <w:t>①生产供热和供气</w:t>
            </w:r>
          </w:p>
          <w:p>
            <w:pPr>
              <w:autoSpaceDE w:val="0"/>
              <w:autoSpaceDN w:val="0"/>
              <w:adjustRightInd w:val="0"/>
              <w:snapToGrid w:val="0"/>
              <w:spacing w:line="360" w:lineRule="auto"/>
              <w:ind w:firstLine="480" w:firstLineChars="200"/>
              <w:rPr>
                <w:rFonts w:cs="宋体"/>
                <w:kern w:val="0"/>
                <w:sz w:val="24"/>
              </w:rPr>
            </w:pPr>
            <w:r>
              <w:rPr>
                <w:rFonts w:cs="宋体"/>
                <w:kern w:val="0"/>
                <w:sz w:val="24"/>
              </w:rPr>
              <w:t>本</w:t>
            </w:r>
            <w:r>
              <w:rPr>
                <w:rFonts w:hint="eastAsia" w:cs="宋体"/>
                <w:kern w:val="0"/>
                <w:sz w:val="24"/>
              </w:rPr>
              <w:t>项目</w:t>
            </w:r>
            <w:r>
              <w:rPr>
                <w:rFonts w:hint="eastAsia" w:cs="宋体"/>
                <w:kern w:val="0"/>
                <w:sz w:val="24"/>
                <w:lang w:eastAsia="zh-CN"/>
              </w:rPr>
              <w:t>烘干机燃料为天然气，采用“西气东输”管道燃气。</w:t>
            </w:r>
          </w:p>
          <w:p>
            <w:pPr>
              <w:autoSpaceDE w:val="0"/>
              <w:autoSpaceDN w:val="0"/>
              <w:adjustRightInd w:val="0"/>
              <w:snapToGrid w:val="0"/>
              <w:spacing w:line="360" w:lineRule="auto"/>
              <w:ind w:firstLine="480" w:firstLineChars="200"/>
              <w:rPr>
                <w:rFonts w:cs="宋体"/>
                <w:kern w:val="0"/>
                <w:sz w:val="24"/>
              </w:rPr>
            </w:pPr>
            <w:r>
              <w:rPr>
                <w:rFonts w:cs="宋体"/>
                <w:kern w:val="0"/>
                <w:sz w:val="24"/>
              </w:rPr>
              <w:t>②生活供热</w:t>
            </w:r>
          </w:p>
          <w:p>
            <w:pPr>
              <w:autoSpaceDE w:val="0"/>
              <w:autoSpaceDN w:val="0"/>
              <w:adjustRightInd w:val="0"/>
              <w:snapToGrid w:val="0"/>
              <w:spacing w:line="360" w:lineRule="auto"/>
              <w:ind w:firstLine="480" w:firstLineChars="200"/>
              <w:rPr>
                <w:rFonts w:cs="宋体"/>
                <w:kern w:val="0"/>
                <w:sz w:val="24"/>
              </w:rPr>
            </w:pPr>
            <w:r>
              <w:rPr>
                <w:rFonts w:cs="宋体"/>
                <w:kern w:val="0"/>
                <w:sz w:val="24"/>
              </w:rPr>
              <w:t>办公室供暖采用分体空调进行调节。餐厅食堂采用液化气</w:t>
            </w:r>
            <w:r>
              <w:rPr>
                <w:rFonts w:hint="eastAsia" w:cs="宋体"/>
                <w:kern w:val="0"/>
                <w:sz w:val="24"/>
                <w:lang w:val="en-US" w:eastAsia="zh-CN"/>
              </w:rPr>
              <w:t>储罐</w:t>
            </w:r>
            <w:r>
              <w:rPr>
                <w:rFonts w:cs="宋体"/>
                <w:kern w:val="0"/>
                <w:sz w:val="24"/>
              </w:rPr>
              <w:t>，职工洗浴采用电</w:t>
            </w:r>
            <w:r>
              <w:rPr>
                <w:rFonts w:hint="eastAsia" w:cs="宋体"/>
                <w:kern w:val="0"/>
                <w:sz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23" w:type="dxa"/>
            <w:vAlign w:val="center"/>
          </w:tcPr>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szCs w:val="24"/>
              </w:rPr>
              <w:t>工艺流程和产排污环节</w:t>
            </w: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center"/>
              <w:rPr>
                <w:rFonts w:ascii="Times New Roman" w:hAnsi="Times New Roman" w:cs="宋体"/>
                <w:szCs w:val="24"/>
              </w:rPr>
            </w:pPr>
          </w:p>
          <w:p>
            <w:pPr>
              <w:pStyle w:val="21"/>
              <w:adjustRightInd w:val="0"/>
              <w:snapToGrid w:val="0"/>
              <w:spacing w:before="0" w:beforeAutospacing="0" w:after="0" w:afterAutospacing="0"/>
              <w:jc w:val="both"/>
              <w:rPr>
                <w:rFonts w:ascii="Times New Roman" w:hAnsi="Times New Roman" w:cs="宋体"/>
                <w:szCs w:val="24"/>
              </w:rPr>
            </w:pPr>
          </w:p>
        </w:tc>
        <w:tc>
          <w:tcPr>
            <w:tcW w:w="8161" w:type="dxa"/>
          </w:tcPr>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1 工艺流程简述</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（一）施工期</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本项目施工期主要建设内容包括：基础工程、主体工程、装饰工程、设备安装等施工行为。施工期污染因素主要为施工机械噪声、施工场地扬尘，其次为施工车辆冲洗水、施工人员的生活污水以及施工过程产生的建筑垃圾、生活垃圾等，施工期产污环节示意图见图1。</w:t>
            </w:r>
          </w:p>
          <w:p>
            <w:pPr>
              <w:pStyle w:val="7"/>
            </w:pPr>
          </w:p>
          <w:p>
            <w:pPr>
              <w:autoSpaceDE w:val="0"/>
              <w:autoSpaceDN w:val="0"/>
              <w:adjustRightInd w:val="0"/>
              <w:snapToGrid w:val="0"/>
              <w:spacing w:line="360" w:lineRule="auto"/>
              <w:jc w:val="center"/>
              <w:rPr>
                <w:rFonts w:cs="宋体"/>
                <w:kern w:val="0"/>
                <w:sz w:val="24"/>
              </w:rPr>
            </w:pPr>
            <w:r>
              <w:rPr>
                <w:rFonts w:hint="eastAsia" w:cs="宋体"/>
                <w:kern w:val="0"/>
                <w:sz w:val="24"/>
              </w:rPr>
              <w:object>
                <v:shape id="_x0000_i1025" o:spt="75" type="#_x0000_t75" style="height:120pt;width:274.3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tabs>
                <w:tab w:val="left" w:pos="1322"/>
                <w:tab w:val="center" w:pos="4635"/>
              </w:tabs>
              <w:adjustRightInd w:val="0"/>
              <w:snapToGrid w:val="0"/>
              <w:spacing w:line="520" w:lineRule="exact"/>
              <w:jc w:val="center"/>
              <w:outlineLvl w:val="1"/>
              <w:rPr>
                <w:b/>
                <w:snapToGrid w:val="0"/>
                <w:kern w:val="0"/>
                <w:sz w:val="24"/>
              </w:rPr>
            </w:pPr>
            <w:r>
              <w:rPr>
                <w:rFonts w:hint="eastAsia"/>
                <w:b/>
                <w:snapToGrid w:val="0"/>
                <w:kern w:val="0"/>
                <w:sz w:val="24"/>
              </w:rPr>
              <w:t>图1    本项目施工期工艺流程及产污环节图</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工艺流程：</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（1）基础工程</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项目在施工期基础工程主要为场地平整、开挖、回填、夯实作业。</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（2）主体工程</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项目在施工期主体工程主要为砖墙砌筑及钢结构厂房搭建。</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（3）装饰工程</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装饰工程包括室内外抹灰工程、饰面安装工程和玻璃、裱糊工程等。</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（4）设备安装</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主要设备进场安装。</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（二）营运期</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本项目釉用新材料生产线</w:t>
            </w:r>
            <w:r>
              <w:rPr>
                <w:rFonts w:cs="宋体"/>
                <w:kern w:val="0"/>
                <w:sz w:val="24"/>
              </w:rPr>
              <w:t>工艺流程及产污环节见图</w:t>
            </w:r>
            <w:r>
              <w:rPr>
                <w:rFonts w:hint="eastAsia" w:cs="宋体"/>
                <w:kern w:val="0"/>
                <w:sz w:val="24"/>
              </w:rPr>
              <w:t>2</w:t>
            </w:r>
            <w:r>
              <w:rPr>
                <w:rFonts w:cs="宋体"/>
                <w:kern w:val="0"/>
                <w:sz w:val="24"/>
              </w:rPr>
              <w:t>。</w:t>
            </w:r>
          </w:p>
          <w:p>
            <w:pPr>
              <w:pStyle w:val="7"/>
              <w:ind w:firstLine="210"/>
            </w:pPr>
          </w:p>
          <w:p>
            <w:pPr>
              <w:spacing w:line="360" w:lineRule="auto"/>
              <w:jc w:val="center"/>
              <w:rPr>
                <w:b/>
                <w:color w:val="000000"/>
                <w:sz w:val="24"/>
                <w:szCs w:val="32"/>
              </w:rPr>
            </w:pPr>
            <w:r>
              <w:rPr>
                <w:sz w:val="24"/>
              </w:rPr>
              <mc:AlternateContent>
                <mc:Choice Requires="wps">
                  <w:drawing>
                    <wp:anchor distT="0" distB="0" distL="114300" distR="114300" simplePos="0" relativeHeight="251658240" behindDoc="0" locked="0" layoutInCell="1" allowOverlap="1">
                      <wp:simplePos x="0" y="0"/>
                      <wp:positionH relativeFrom="column">
                        <wp:posOffset>2834640</wp:posOffset>
                      </wp:positionH>
                      <wp:positionV relativeFrom="paragraph">
                        <wp:posOffset>7520305</wp:posOffset>
                      </wp:positionV>
                      <wp:extent cx="2021205" cy="271145"/>
                      <wp:effectExtent l="4445" t="4445" r="12700" b="10160"/>
                      <wp:wrapNone/>
                      <wp:docPr id="1" name="文本框 1"/>
                      <wp:cNvGraphicFramePr/>
                      <a:graphic xmlns:a="http://schemas.openxmlformats.org/drawingml/2006/main">
                        <a:graphicData uri="http://schemas.microsoft.com/office/word/2010/wordprocessingShape">
                          <wps:wsp>
                            <wps:cNvSpPr txBox="1"/>
                            <wps:spPr>
                              <a:xfrm>
                                <a:off x="3785235" y="8328660"/>
                                <a:ext cx="2021205" cy="2711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 xml:space="preserve">图例：N噪声 </w:t>
                                  </w:r>
                                  <w:r>
                                    <w:rPr>
                                      <w:rFonts w:hint="eastAsia"/>
                                      <w:lang w:val="en-US" w:eastAsia="zh-CN"/>
                                    </w:rPr>
                                    <w:t xml:space="preserve"> </w:t>
                                  </w:r>
                                  <w:r>
                                    <w:rPr>
                                      <w:rFonts w:hint="eastAsia"/>
                                    </w:rPr>
                                    <w:t>G废气</w:t>
                                  </w:r>
                                  <w:r>
                                    <w:rPr>
                                      <w:rFonts w:hint="eastAsia"/>
                                      <w:lang w:val="en-US" w:eastAsia="zh-CN"/>
                                    </w:rPr>
                                    <w:t xml:space="preserve">  W固废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3.2pt;margin-top:592.15pt;height:21.35pt;width:159.15pt;z-index:251658240;mso-width-relative:page;mso-height-relative:page;" fillcolor="#CCE8CF [3201]" filled="t" stroked="t" coordsize="21600,21600" o:gfxdata="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8zWBtsAAAANAQAADwAAAAAA&#10;AAABACAAAAAiAAAAZHJzL2Rvd25yZXYueG1sUEsBAhQAFAAAAAgAh07iQB/zHDRJAgAAdQQAAA4A&#10;AAAAAAAAAQAgAAAAKgEAAGRycy9lMm9Eb2MueG1sUEsFBgAAAAAGAAYAWQEAAOUFAAAAAA==&#10;">
                      <v:fill on="t" focussize="0,0"/>
                      <v:stroke weight="0.5pt" color="#000000 [3204]" joinstyle="round"/>
                      <v:imagedata o:title=""/>
                      <o:lock v:ext="edit" aspectratio="f"/>
                      <v:textbox>
                        <w:txbxContent>
                          <w:p>
                            <w:pPr>
                              <w:rPr>
                                <w:rFonts w:hint="eastAsia" w:eastAsia="宋体"/>
                                <w:lang w:val="en-US" w:eastAsia="zh-CN"/>
                              </w:rPr>
                            </w:pPr>
                            <w:r>
                              <w:rPr>
                                <w:rFonts w:hint="eastAsia"/>
                              </w:rPr>
                              <w:t xml:space="preserve">图例：N噪声 </w:t>
                            </w:r>
                            <w:r>
                              <w:rPr>
                                <w:rFonts w:hint="eastAsia"/>
                                <w:lang w:val="en-US" w:eastAsia="zh-CN"/>
                              </w:rPr>
                              <w:t xml:space="preserve"> </w:t>
                            </w:r>
                            <w:r>
                              <w:rPr>
                                <w:rFonts w:hint="eastAsia"/>
                              </w:rPr>
                              <w:t>G废气</w:t>
                            </w:r>
                            <w:r>
                              <w:rPr>
                                <w:rFonts w:hint="eastAsia"/>
                                <w:lang w:val="en-US" w:eastAsia="zh-CN"/>
                              </w:rPr>
                              <w:t xml:space="preserve">  W固废</w:t>
                            </w:r>
                          </w:p>
                        </w:txbxContent>
                      </v:textbox>
                    </v:shape>
                  </w:pict>
                </mc:Fallback>
              </mc:AlternateContent>
            </w:r>
            <w:r>
              <w:rPr>
                <w:sz w:val="24"/>
              </w:rPr>
              <w:object>
                <v:shape id="_x0000_i1026" o:spt="75" type="#_x0000_t75" style="height:614.95pt;width:292.4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tabs>
                <w:tab w:val="left" w:pos="1322"/>
                <w:tab w:val="center" w:pos="4635"/>
              </w:tabs>
              <w:adjustRightInd w:val="0"/>
              <w:snapToGrid w:val="0"/>
              <w:spacing w:line="520" w:lineRule="exact"/>
              <w:jc w:val="center"/>
              <w:outlineLvl w:val="1"/>
              <w:rPr>
                <w:rFonts w:hint="eastAsia" w:eastAsia="宋体"/>
                <w:b/>
                <w:snapToGrid w:val="0"/>
                <w:kern w:val="0"/>
                <w:sz w:val="24"/>
                <w:u w:val="single"/>
                <w:lang w:eastAsia="zh-CN"/>
              </w:rPr>
            </w:pPr>
            <w:r>
              <w:rPr>
                <w:rFonts w:hint="eastAsia"/>
                <w:b/>
                <w:snapToGrid w:val="0"/>
                <w:kern w:val="0"/>
                <w:sz w:val="24"/>
                <w:u w:val="single"/>
              </w:rPr>
              <w:t>图2    本项目运营期工艺流程及产污环节图</w:t>
            </w:r>
          </w:p>
          <w:p>
            <w:pPr>
              <w:spacing w:line="360" w:lineRule="auto"/>
              <w:ind w:firstLine="482" w:firstLineChars="200"/>
              <w:rPr>
                <w:rFonts w:hint="eastAsia" w:eastAsia="宋体"/>
                <w:b/>
                <w:color w:val="auto"/>
                <w:sz w:val="24"/>
                <w:szCs w:val="32"/>
                <w:lang w:eastAsia="zh-CN"/>
              </w:rPr>
            </w:pPr>
            <w:r>
              <w:rPr>
                <w:b/>
                <w:color w:val="auto"/>
                <w:sz w:val="24"/>
                <w:szCs w:val="32"/>
              </w:rPr>
              <w:t>工艺</w:t>
            </w:r>
            <w:r>
              <w:rPr>
                <w:rFonts w:hint="eastAsia"/>
                <w:b/>
                <w:color w:val="auto"/>
                <w:sz w:val="24"/>
                <w:szCs w:val="32"/>
              </w:rPr>
              <w:t>流程</w:t>
            </w:r>
            <w:r>
              <w:rPr>
                <w:b/>
                <w:color w:val="auto"/>
                <w:sz w:val="24"/>
                <w:szCs w:val="32"/>
              </w:rPr>
              <w:t>简述：</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（1）上料、洗矿</w:t>
            </w:r>
          </w:p>
          <w:p>
            <w:pPr>
              <w:autoSpaceDE w:val="0"/>
              <w:autoSpaceDN w:val="0"/>
              <w:adjustRightInd w:val="0"/>
              <w:snapToGrid w:val="0"/>
              <w:spacing w:line="360" w:lineRule="auto"/>
              <w:ind w:firstLine="480" w:firstLineChars="200"/>
              <w:rPr>
                <w:rFonts w:cs="宋体"/>
                <w:b/>
                <w:bCs/>
                <w:kern w:val="0"/>
                <w:sz w:val="24"/>
                <w:u w:val="single"/>
              </w:rPr>
            </w:pPr>
            <w:r>
              <w:rPr>
                <w:rFonts w:hint="eastAsia" w:cs="宋体"/>
                <w:kern w:val="0"/>
                <w:sz w:val="24"/>
              </w:rPr>
              <w:t>项目原料</w:t>
            </w:r>
            <w:bookmarkStart w:id="1" w:name="OLE_LINK2"/>
            <w:r>
              <w:rPr>
                <w:rFonts w:hint="eastAsia" w:cs="宋体"/>
                <w:kern w:val="0"/>
                <w:sz w:val="24"/>
              </w:rPr>
              <w:t>钾长石、钠长石、霞石、碳酸锶、碳酸钡</w:t>
            </w:r>
            <w:bookmarkEnd w:id="1"/>
            <w:r>
              <w:rPr>
                <w:rFonts w:hint="eastAsia" w:cs="宋体"/>
                <w:kern w:val="0"/>
                <w:sz w:val="24"/>
              </w:rPr>
              <w:t>分别经汽车运输至厂区内的密闭原料库，分区存放。钾长石、钠长石、霞石、碳酸锶、碳酸钡按照8：8：1：1：2</w:t>
            </w:r>
            <w:r>
              <w:rPr>
                <w:rFonts w:hint="eastAsia" w:cs="宋体"/>
                <w:b/>
                <w:bCs/>
                <w:kern w:val="0"/>
                <w:sz w:val="24"/>
                <w:u w:val="single"/>
                <w:lang w:eastAsia="zh-CN"/>
              </w:rPr>
              <w:t>（</w:t>
            </w:r>
            <w:r>
              <w:rPr>
                <w:rFonts w:hint="eastAsia" w:cs="宋体"/>
                <w:b/>
                <w:bCs/>
                <w:kern w:val="0"/>
                <w:sz w:val="24"/>
                <w:u w:val="single"/>
                <w:lang w:val="en-US" w:eastAsia="zh-CN"/>
              </w:rPr>
              <w:t>质量比</w:t>
            </w:r>
            <w:r>
              <w:rPr>
                <w:rFonts w:hint="eastAsia" w:cs="宋体"/>
                <w:b/>
                <w:bCs/>
                <w:kern w:val="0"/>
                <w:sz w:val="24"/>
                <w:u w:val="single"/>
                <w:lang w:eastAsia="zh-CN"/>
              </w:rPr>
              <w:t>）</w:t>
            </w:r>
            <w:r>
              <w:rPr>
                <w:rFonts w:hint="eastAsia" w:cs="宋体"/>
                <w:kern w:val="0"/>
                <w:sz w:val="24"/>
              </w:rPr>
              <w:t>的比例用铲车送入上料斗，经料斗底部喂料机</w:t>
            </w:r>
            <w:r>
              <w:rPr>
                <w:rFonts w:hint="eastAsia" w:cs="宋体"/>
                <w:kern w:val="0"/>
                <w:sz w:val="24"/>
                <w:lang w:val="en-US" w:eastAsia="zh-CN"/>
              </w:rPr>
              <w:t>及密闭的输送皮带</w:t>
            </w:r>
            <w:r>
              <w:rPr>
                <w:rFonts w:hint="eastAsia" w:cs="宋体"/>
                <w:kern w:val="0"/>
                <w:sz w:val="24"/>
              </w:rPr>
              <w:t>送入螺旋洗矿机</w:t>
            </w:r>
            <w:r>
              <w:rPr>
                <w:rFonts w:hint="eastAsia" w:cs="宋体"/>
                <w:kern w:val="0"/>
                <w:sz w:val="24"/>
                <w:lang w:eastAsia="zh-CN"/>
              </w:rPr>
              <w:t>内</w:t>
            </w:r>
            <w:r>
              <w:rPr>
                <w:rFonts w:hint="eastAsia" w:cs="宋体"/>
                <w:kern w:val="0"/>
                <w:sz w:val="24"/>
              </w:rPr>
              <w:t>，同时加水，</w:t>
            </w:r>
            <w:r>
              <w:rPr>
                <w:rFonts w:hint="eastAsia" w:cs="宋体"/>
                <w:kern w:val="0"/>
                <w:sz w:val="24"/>
                <w:lang w:val="en-US" w:eastAsia="zh-CN"/>
              </w:rPr>
              <w:t>主要用于</w:t>
            </w:r>
            <w:r>
              <w:rPr>
                <w:rFonts w:hint="eastAsia" w:cs="宋体"/>
                <w:kern w:val="0"/>
                <w:sz w:val="24"/>
              </w:rPr>
              <w:t>清洗原料表面的</w:t>
            </w:r>
            <w:r>
              <w:rPr>
                <w:rFonts w:hint="eastAsia" w:cs="宋体"/>
                <w:kern w:val="0"/>
                <w:sz w:val="24"/>
                <w:lang w:val="en-US" w:eastAsia="zh-CN"/>
              </w:rPr>
              <w:t>粉尘和杂质</w:t>
            </w:r>
            <w:r>
              <w:rPr>
                <w:rFonts w:hint="eastAsia" w:cs="宋体"/>
                <w:kern w:val="0"/>
                <w:sz w:val="24"/>
              </w:rPr>
              <w:t>。螺旋洗矿机是利用水的浮力作用，将粉尘和杂质与矿石分离。经过螺旋片的搅动，达到滤水去杂质</w:t>
            </w:r>
            <w:r>
              <w:rPr>
                <w:rFonts w:hint="eastAsia" w:cs="宋体"/>
                <w:kern w:val="0"/>
                <w:sz w:val="24"/>
                <w:lang w:eastAsia="zh-CN"/>
              </w:rPr>
              <w:t>和</w:t>
            </w:r>
            <w:r>
              <w:rPr>
                <w:rFonts w:hint="eastAsia" w:cs="宋体"/>
                <w:kern w:val="0"/>
                <w:sz w:val="24"/>
                <w:lang w:val="en-US" w:eastAsia="zh-CN"/>
              </w:rPr>
              <w:t>粉尘的</w:t>
            </w:r>
            <w:r>
              <w:rPr>
                <w:rFonts w:hint="eastAsia" w:cs="宋体"/>
                <w:kern w:val="0"/>
                <w:sz w:val="24"/>
              </w:rPr>
              <w:t>目的。工作时，动力装置带动叶轮缓慢转动，物料由给料槽进入洗槽中完成清洗作</w:t>
            </w:r>
            <w:r>
              <w:rPr>
                <w:rFonts w:hint="eastAsia" w:cs="宋体"/>
                <w:kern w:val="0"/>
                <w:sz w:val="24"/>
                <w:lang w:val="en-US" w:eastAsia="zh-CN"/>
              </w:rPr>
              <w:t>业</w:t>
            </w:r>
            <w:r>
              <w:rPr>
                <w:rFonts w:hint="eastAsia" w:cs="宋体"/>
                <w:kern w:val="0"/>
                <w:sz w:val="24"/>
              </w:rPr>
              <w:t>。干净的物料由叶片带走，最后物料从旋转的叶轮倒入出料槽，完成物料的清洗作业。经螺旋洗矿机清洗之后的物料经过分筛机去除</w:t>
            </w:r>
            <w:r>
              <w:rPr>
                <w:rFonts w:hint="eastAsia" w:cs="宋体"/>
                <w:kern w:val="0"/>
                <w:sz w:val="24"/>
                <w:lang w:val="en-US" w:eastAsia="zh-CN"/>
              </w:rPr>
              <w:t>物料表面</w:t>
            </w:r>
            <w:r>
              <w:rPr>
                <w:rFonts w:hint="eastAsia" w:cs="宋体"/>
                <w:kern w:val="0"/>
                <w:sz w:val="24"/>
              </w:rPr>
              <w:t>水分，然后进入破碎工段。</w:t>
            </w:r>
            <w:r>
              <w:rPr>
                <w:rFonts w:hint="eastAsia" w:cs="宋体"/>
                <w:b/>
                <w:bCs/>
                <w:kern w:val="0"/>
                <w:sz w:val="24"/>
                <w:u w:val="single"/>
              </w:rPr>
              <w:t>螺旋洗矿机</w:t>
            </w:r>
            <w:r>
              <w:rPr>
                <w:rFonts w:hint="eastAsia" w:cs="宋体"/>
                <w:b/>
                <w:bCs/>
                <w:kern w:val="0"/>
                <w:sz w:val="24"/>
                <w:u w:val="single"/>
                <w:lang w:val="en-US" w:eastAsia="zh-CN"/>
              </w:rPr>
              <w:t>及分筛</w:t>
            </w:r>
            <w:r>
              <w:rPr>
                <w:rFonts w:hint="eastAsia" w:cs="宋体"/>
                <w:b/>
                <w:bCs/>
                <w:kern w:val="0"/>
                <w:sz w:val="24"/>
                <w:u w:val="single"/>
              </w:rPr>
              <w:t>产生的含</w:t>
            </w:r>
            <w:r>
              <w:rPr>
                <w:rFonts w:hint="eastAsia" w:cs="宋体"/>
                <w:b/>
                <w:bCs/>
                <w:kern w:val="0"/>
                <w:sz w:val="24"/>
                <w:u w:val="single"/>
                <w:lang w:val="en-US" w:eastAsia="zh-CN"/>
              </w:rPr>
              <w:t>尘废</w:t>
            </w:r>
            <w:r>
              <w:rPr>
                <w:rFonts w:hint="eastAsia" w:cs="宋体"/>
                <w:b/>
                <w:bCs/>
                <w:kern w:val="0"/>
                <w:sz w:val="24"/>
                <w:u w:val="single"/>
              </w:rPr>
              <w:t>水进入1#浓缩罐</w:t>
            </w:r>
            <w:r>
              <w:rPr>
                <w:rFonts w:hint="eastAsia" w:cs="宋体"/>
                <w:b/>
                <w:bCs/>
                <w:kern w:val="0"/>
                <w:sz w:val="24"/>
                <w:u w:val="single"/>
                <w:lang w:eastAsia="zh-CN"/>
              </w:rPr>
              <w:t>。</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（2）破碎、筛分</w:t>
            </w:r>
          </w:p>
          <w:p>
            <w:pPr>
              <w:autoSpaceDE w:val="0"/>
              <w:autoSpaceDN w:val="0"/>
              <w:adjustRightInd w:val="0"/>
              <w:snapToGrid w:val="0"/>
              <w:spacing w:line="360" w:lineRule="auto"/>
              <w:ind w:firstLine="480" w:firstLineChars="200"/>
              <w:rPr>
                <w:rFonts w:cs="宋体"/>
                <w:b/>
                <w:bCs/>
                <w:kern w:val="0"/>
                <w:sz w:val="24"/>
                <w:u w:val="single"/>
              </w:rPr>
            </w:pPr>
            <w:r>
              <w:rPr>
                <w:rFonts w:hint="eastAsia" w:cs="宋体"/>
                <w:kern w:val="0"/>
                <w:sz w:val="24"/>
                <w:lang w:val="en-US" w:eastAsia="zh-CN"/>
              </w:rPr>
              <w:t>经</w:t>
            </w:r>
            <w:r>
              <w:rPr>
                <w:rFonts w:hint="eastAsia" w:cs="宋体"/>
                <w:kern w:val="0"/>
                <w:sz w:val="24"/>
              </w:rPr>
              <w:t>清洗干净的物料通过密闭的皮带输送至</w:t>
            </w:r>
            <w:r>
              <w:rPr>
                <w:rFonts w:hint="eastAsia" w:cs="宋体"/>
                <w:kern w:val="0"/>
                <w:sz w:val="24"/>
                <w:lang w:val="en-US" w:eastAsia="zh-CN"/>
              </w:rPr>
              <w:t>原矿石粉碎机</w:t>
            </w:r>
            <w:r>
              <w:rPr>
                <w:rFonts w:hint="eastAsia" w:cs="宋体"/>
                <w:kern w:val="0"/>
                <w:sz w:val="24"/>
              </w:rPr>
              <w:t>进行破碎，破碎后的物料经密闭的皮带输送至分筛机进行筛分，同时加水，</w:t>
            </w:r>
            <w:r>
              <w:rPr>
                <w:rFonts w:hint="eastAsia" w:cs="宋体"/>
                <w:kern w:val="0"/>
                <w:sz w:val="24"/>
                <w:lang w:val="en-US" w:eastAsia="zh-CN"/>
              </w:rPr>
              <w:t>分筛机</w:t>
            </w:r>
            <w:r>
              <w:rPr>
                <w:rFonts w:hint="eastAsia" w:cs="宋体"/>
                <w:kern w:val="0"/>
                <w:sz w:val="24"/>
              </w:rPr>
              <w:t>筛上物（＞4mm）</w:t>
            </w:r>
            <w:r>
              <w:rPr>
                <w:rFonts w:hint="eastAsia" w:cs="宋体"/>
                <w:kern w:val="0"/>
                <w:sz w:val="24"/>
                <w:lang w:val="en-US" w:eastAsia="zh-CN"/>
              </w:rPr>
              <w:t>通过密闭的输送皮带</w:t>
            </w:r>
            <w:r>
              <w:rPr>
                <w:rFonts w:hint="eastAsia" w:cs="宋体"/>
                <w:kern w:val="0"/>
                <w:sz w:val="24"/>
              </w:rPr>
              <w:t>返回</w:t>
            </w:r>
            <w:r>
              <w:rPr>
                <w:rFonts w:hint="eastAsia" w:cs="宋体"/>
                <w:kern w:val="0"/>
                <w:sz w:val="24"/>
                <w:lang w:val="en-US" w:eastAsia="zh-CN"/>
              </w:rPr>
              <w:t>原矿石粉碎机</w:t>
            </w:r>
            <w:r>
              <w:rPr>
                <w:rFonts w:hint="eastAsia" w:cs="宋体"/>
                <w:kern w:val="0"/>
                <w:sz w:val="24"/>
              </w:rPr>
              <w:t>进一步破碎，形成闭路循环；筛下物（≤4mm）</w:t>
            </w:r>
            <w:r>
              <w:rPr>
                <w:rFonts w:hint="eastAsia" w:cs="宋体"/>
                <w:kern w:val="0"/>
                <w:sz w:val="24"/>
                <w:lang w:val="en-US" w:eastAsia="zh-CN"/>
              </w:rPr>
              <w:t>随水一同</w:t>
            </w:r>
            <w:r>
              <w:rPr>
                <w:rFonts w:hint="eastAsia" w:cs="宋体"/>
                <w:kern w:val="0"/>
                <w:sz w:val="24"/>
              </w:rPr>
              <w:t>进入水轮，水轮捞出的物料在脱水筛进行脱水，</w:t>
            </w:r>
            <w:r>
              <w:rPr>
                <w:rFonts w:hint="eastAsia" w:cs="宋体"/>
                <w:kern w:val="0"/>
                <w:sz w:val="24"/>
                <w:lang w:val="en-US" w:eastAsia="zh-CN"/>
              </w:rPr>
              <w:t>去除物料表面水分，</w:t>
            </w:r>
            <w:r>
              <w:rPr>
                <w:rFonts w:hint="eastAsia" w:cs="宋体"/>
                <w:kern w:val="0"/>
                <w:sz w:val="24"/>
              </w:rPr>
              <w:t>脱水后的物料进入破碎料库内</w:t>
            </w:r>
            <w:r>
              <w:rPr>
                <w:rFonts w:hint="eastAsia" w:cs="宋体"/>
                <w:kern w:val="0"/>
                <w:sz w:val="24"/>
                <w:lang w:val="en-US" w:eastAsia="zh-CN"/>
              </w:rPr>
              <w:t>堆放</w:t>
            </w:r>
            <w:r>
              <w:rPr>
                <w:rFonts w:hint="eastAsia" w:cs="宋体"/>
                <w:kern w:val="0"/>
                <w:sz w:val="24"/>
              </w:rPr>
              <w:t>。</w:t>
            </w:r>
            <w:r>
              <w:rPr>
                <w:rFonts w:hint="eastAsia" w:cs="宋体"/>
                <w:b/>
                <w:bCs/>
                <w:kern w:val="0"/>
                <w:sz w:val="24"/>
                <w:u w:val="single"/>
              </w:rPr>
              <w:t>水轮和脱水筛产生的废水</w:t>
            </w:r>
            <w:r>
              <w:rPr>
                <w:rFonts w:hint="eastAsia" w:cs="宋体"/>
                <w:b/>
                <w:bCs/>
                <w:kern w:val="0"/>
                <w:sz w:val="24"/>
                <w:u w:val="single"/>
                <w:lang w:val="en-US" w:eastAsia="zh-CN"/>
              </w:rPr>
              <w:t>进入1#浓缩罐。</w:t>
            </w:r>
          </w:p>
          <w:p>
            <w:pPr>
              <w:autoSpaceDE w:val="0"/>
              <w:autoSpaceDN w:val="0"/>
              <w:adjustRightInd w:val="0"/>
              <w:snapToGrid w:val="0"/>
              <w:spacing w:line="360" w:lineRule="auto"/>
              <w:ind w:firstLine="482" w:firstLineChars="200"/>
              <w:rPr>
                <w:rFonts w:hint="eastAsia" w:cs="宋体"/>
                <w:b/>
                <w:bCs/>
                <w:kern w:val="0"/>
                <w:sz w:val="24"/>
                <w:u w:val="single"/>
                <w:lang w:eastAsia="zh-CN"/>
              </w:rPr>
            </w:pPr>
            <w:r>
              <w:rPr>
                <w:rFonts w:hint="eastAsia" w:cs="宋体"/>
                <w:b/>
                <w:bCs/>
                <w:kern w:val="0"/>
                <w:sz w:val="24"/>
                <w:u w:val="single"/>
                <w:lang w:val="en-US" w:eastAsia="zh-CN"/>
              </w:rPr>
              <w:t>进入1</w:t>
            </w:r>
            <w:r>
              <w:rPr>
                <w:rFonts w:hint="eastAsia" w:cs="宋体"/>
                <w:b/>
                <w:bCs/>
                <w:kern w:val="0"/>
                <w:sz w:val="24"/>
                <w:u w:val="single"/>
              </w:rPr>
              <w:t>#浓缩罐</w:t>
            </w:r>
            <w:r>
              <w:rPr>
                <w:rFonts w:hint="eastAsia" w:cs="宋体"/>
                <w:b/>
                <w:bCs/>
                <w:kern w:val="0"/>
                <w:sz w:val="24"/>
                <w:u w:val="single"/>
                <w:lang w:val="en-US" w:eastAsia="zh-CN"/>
              </w:rPr>
              <w:t>的废水</w:t>
            </w:r>
            <w:r>
              <w:rPr>
                <w:rFonts w:hint="eastAsia" w:cs="宋体"/>
                <w:b/>
                <w:bCs/>
                <w:color w:val="auto"/>
                <w:kern w:val="0"/>
                <w:sz w:val="24"/>
                <w:u w:val="single"/>
                <w:lang w:val="en-US" w:eastAsia="zh-CN"/>
              </w:rPr>
              <w:t>经自动加药机加药（聚合氯化铝）沉淀之后，上清液直接排入储水池，下层沉淀物</w:t>
            </w:r>
            <w:r>
              <w:rPr>
                <w:rFonts w:hint="eastAsia" w:cs="宋体"/>
                <w:b/>
                <w:bCs/>
                <w:kern w:val="0"/>
                <w:sz w:val="24"/>
                <w:u w:val="single"/>
              </w:rPr>
              <w:t>进入</w:t>
            </w:r>
            <w:r>
              <w:rPr>
                <w:rFonts w:hint="eastAsia" w:cs="宋体"/>
                <w:b/>
                <w:bCs/>
                <w:kern w:val="0"/>
                <w:sz w:val="24"/>
                <w:u w:val="single"/>
                <w:lang w:val="en-US" w:eastAsia="zh-CN"/>
              </w:rPr>
              <w:t>板框压滤机</w:t>
            </w:r>
            <w:r>
              <w:rPr>
                <w:rFonts w:hint="eastAsia" w:cs="宋体"/>
                <w:b/>
                <w:bCs/>
                <w:kern w:val="0"/>
                <w:sz w:val="24"/>
                <w:u w:val="single"/>
              </w:rPr>
              <w:t>进行脱水</w:t>
            </w:r>
            <w:r>
              <w:rPr>
                <w:rFonts w:hint="eastAsia" w:cs="宋体"/>
                <w:b/>
                <w:bCs/>
                <w:kern w:val="0"/>
                <w:sz w:val="24"/>
                <w:u w:val="single"/>
                <w:lang w:eastAsia="zh-CN"/>
              </w:rPr>
              <w:t>。</w:t>
            </w:r>
            <w:r>
              <w:rPr>
                <w:rFonts w:hint="eastAsia" w:cs="宋体"/>
                <w:b/>
                <w:bCs/>
                <w:kern w:val="0"/>
                <w:sz w:val="24"/>
                <w:u w:val="single"/>
                <w:lang w:val="en-US" w:eastAsia="zh-CN"/>
              </w:rPr>
              <w:t>板框压滤机</w:t>
            </w:r>
            <w:r>
              <w:rPr>
                <w:rFonts w:hint="eastAsia" w:cs="宋体"/>
                <w:b/>
                <w:bCs/>
                <w:kern w:val="0"/>
                <w:sz w:val="24"/>
                <w:u w:val="single"/>
              </w:rPr>
              <w:t>板与框相间排列而成，在滤板的两侧覆有滤布，用压紧装置把板与框压紧，即在板与框之间构成压滤室。在板与框的上端中间相同部位开有小孔，压紧后成为一条通道，加压到0.2~0.4MPa的</w:t>
            </w:r>
            <w:r>
              <w:rPr>
                <w:rFonts w:hint="default" w:cs="宋体"/>
                <w:b/>
                <w:bCs/>
                <w:kern w:val="0"/>
                <w:sz w:val="24"/>
                <w:u w:val="single"/>
              </w:rPr>
              <w:fldChar w:fldCharType="begin"/>
            </w:r>
            <w:r>
              <w:rPr>
                <w:rFonts w:hint="default" w:cs="宋体"/>
                <w:b/>
                <w:bCs/>
                <w:kern w:val="0"/>
                <w:sz w:val="24"/>
                <w:u w:val="single"/>
              </w:rPr>
              <w:instrText xml:space="preserve"> HYPERLINK "https://baike.so.com/doc/4561138-4771973.html" \t "https://baike.so.com/doc/_blank" </w:instrText>
            </w:r>
            <w:r>
              <w:rPr>
                <w:rFonts w:hint="default" w:cs="宋体"/>
                <w:b/>
                <w:bCs/>
                <w:kern w:val="0"/>
                <w:sz w:val="24"/>
                <w:u w:val="single"/>
              </w:rPr>
              <w:fldChar w:fldCharType="separate"/>
            </w:r>
            <w:r>
              <w:rPr>
                <w:rFonts w:hint="default" w:cs="宋体"/>
                <w:b/>
                <w:bCs/>
                <w:kern w:val="0"/>
                <w:sz w:val="24"/>
                <w:u w:val="single"/>
              </w:rPr>
              <w:t>污泥</w:t>
            </w:r>
            <w:r>
              <w:rPr>
                <w:rFonts w:hint="default" w:cs="宋体"/>
                <w:b/>
                <w:bCs/>
                <w:kern w:val="0"/>
                <w:sz w:val="24"/>
                <w:u w:val="single"/>
              </w:rPr>
              <w:fldChar w:fldCharType="end"/>
            </w:r>
            <w:r>
              <w:rPr>
                <w:rFonts w:hint="default" w:cs="宋体"/>
                <w:b/>
                <w:bCs/>
                <w:kern w:val="0"/>
                <w:sz w:val="24"/>
                <w:u w:val="single"/>
              </w:rPr>
              <w:t>，由该通道进入压滤室，滤板的表面刻有沟槽，下端钻有供滤液排出的孔道，滤液在压力下，通过滤布、沿沟槽与孔道排出滤机，使污泥脱水。</w:t>
            </w:r>
          </w:p>
          <w:p>
            <w:pPr>
              <w:autoSpaceDE w:val="0"/>
              <w:autoSpaceDN w:val="0"/>
              <w:adjustRightInd w:val="0"/>
              <w:snapToGrid w:val="0"/>
              <w:spacing w:line="360" w:lineRule="auto"/>
              <w:ind w:firstLine="482" w:firstLineChars="200"/>
              <w:rPr>
                <w:rFonts w:cs="宋体"/>
                <w:kern w:val="0"/>
                <w:sz w:val="24"/>
              </w:rPr>
            </w:pPr>
            <w:r>
              <w:rPr>
                <w:rFonts w:hint="eastAsia" w:cs="宋体"/>
                <w:b/>
                <w:bCs/>
                <w:kern w:val="0"/>
                <w:sz w:val="24"/>
                <w:u w:val="single"/>
                <w:lang w:val="en-US" w:eastAsia="zh-CN"/>
              </w:rPr>
              <w:t>板框压滤机</w:t>
            </w:r>
            <w:r>
              <w:rPr>
                <w:rFonts w:hint="eastAsia" w:cs="宋体"/>
                <w:b/>
                <w:bCs/>
                <w:kern w:val="0"/>
                <w:sz w:val="24"/>
                <w:u w:val="single"/>
              </w:rPr>
              <w:t>脱水后的物料含水率在</w:t>
            </w:r>
            <w:r>
              <w:rPr>
                <w:rFonts w:hint="eastAsia" w:cs="宋体"/>
                <w:b/>
                <w:bCs/>
                <w:color w:val="auto"/>
                <w:kern w:val="0"/>
                <w:sz w:val="24"/>
                <w:u w:val="single"/>
                <w:lang w:val="en-US" w:eastAsia="zh-CN"/>
              </w:rPr>
              <w:t>28</w:t>
            </w:r>
            <w:r>
              <w:rPr>
                <w:rFonts w:hint="eastAsia" w:cs="宋体"/>
                <w:b/>
                <w:bCs/>
                <w:color w:val="auto"/>
                <w:kern w:val="0"/>
                <w:sz w:val="24"/>
                <w:u w:val="single"/>
              </w:rPr>
              <w:t>%</w:t>
            </w:r>
            <w:r>
              <w:rPr>
                <w:rFonts w:hint="eastAsia" w:cs="宋体"/>
                <w:b/>
                <w:bCs/>
                <w:kern w:val="0"/>
                <w:sz w:val="24"/>
                <w:u w:val="single"/>
                <w:lang w:val="en-US" w:eastAsia="zh-CN"/>
              </w:rPr>
              <w:t>左右</w:t>
            </w:r>
            <w:r>
              <w:rPr>
                <w:rFonts w:hint="eastAsia" w:cs="宋体"/>
                <w:b/>
                <w:bCs/>
                <w:kern w:val="0"/>
                <w:sz w:val="24"/>
                <w:u w:val="single"/>
              </w:rPr>
              <w:t>，通过</w:t>
            </w:r>
            <w:r>
              <w:rPr>
                <w:rFonts w:hint="eastAsia" w:cs="宋体"/>
                <w:b/>
                <w:bCs/>
                <w:kern w:val="0"/>
                <w:sz w:val="24"/>
                <w:u w:val="single"/>
                <w:lang w:val="en-US" w:eastAsia="zh-CN"/>
              </w:rPr>
              <w:t>皮带输送机</w:t>
            </w:r>
            <w:r>
              <w:rPr>
                <w:rFonts w:hint="eastAsia" w:cs="宋体"/>
                <w:b/>
                <w:bCs/>
                <w:kern w:val="0"/>
                <w:sz w:val="24"/>
                <w:u w:val="single"/>
              </w:rPr>
              <w:t>送入</w:t>
            </w:r>
            <w:r>
              <w:rPr>
                <w:rFonts w:hint="eastAsia" w:cs="宋体"/>
                <w:b/>
                <w:bCs/>
                <w:kern w:val="0"/>
                <w:sz w:val="24"/>
                <w:u w:val="single"/>
                <w:lang w:val="en-US" w:eastAsia="zh-CN"/>
              </w:rPr>
              <w:t>压滤料库堆存</w:t>
            </w:r>
            <w:r>
              <w:rPr>
                <w:rFonts w:hint="eastAsia" w:cs="宋体"/>
                <w:b/>
                <w:bCs/>
                <w:kern w:val="0"/>
                <w:sz w:val="24"/>
                <w:u w:val="single"/>
              </w:rPr>
              <w:t>。</w:t>
            </w:r>
            <w:r>
              <w:rPr>
                <w:rFonts w:hint="eastAsia" w:cs="宋体"/>
                <w:b/>
                <w:bCs/>
                <w:kern w:val="0"/>
                <w:sz w:val="24"/>
                <w:u w:val="single"/>
                <w:lang w:val="en-US" w:eastAsia="zh-CN"/>
              </w:rPr>
              <w:t>板框压滤机压滤过程中产生</w:t>
            </w:r>
            <w:r>
              <w:rPr>
                <w:rFonts w:hint="eastAsia" w:cs="宋体"/>
                <w:b/>
                <w:bCs/>
                <w:kern w:val="0"/>
                <w:sz w:val="24"/>
                <w:u w:val="single"/>
              </w:rPr>
              <w:t>的废水经排水管道排入储水池。</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（3）球磨、分级</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通过铲车将破碎料库内的破碎料送入</w:t>
            </w:r>
            <w:r>
              <w:rPr>
                <w:rFonts w:hint="eastAsia" w:cs="宋体"/>
                <w:kern w:val="0"/>
                <w:sz w:val="24"/>
                <w:lang w:val="en-US" w:eastAsia="zh-CN"/>
              </w:rPr>
              <w:t>破碎料</w:t>
            </w:r>
            <w:r>
              <w:rPr>
                <w:rFonts w:hint="eastAsia" w:cs="宋体"/>
                <w:kern w:val="0"/>
                <w:sz w:val="24"/>
              </w:rPr>
              <w:t>上料斗，经料斗底部喂料机</w:t>
            </w:r>
            <w:r>
              <w:rPr>
                <w:rFonts w:hint="eastAsia" w:cs="宋体"/>
                <w:kern w:val="0"/>
                <w:sz w:val="24"/>
                <w:lang w:val="en-US" w:eastAsia="zh-CN"/>
              </w:rPr>
              <w:t>及密闭的输送皮带</w:t>
            </w:r>
            <w:r>
              <w:rPr>
                <w:rFonts w:hint="eastAsia" w:cs="宋体"/>
                <w:kern w:val="0"/>
                <w:sz w:val="24"/>
              </w:rPr>
              <w:t>送入湿式球磨机进行磨矿。</w:t>
            </w:r>
            <w:r>
              <w:rPr>
                <w:rFonts w:hint="eastAsia" w:cs="宋体"/>
                <w:kern w:val="0"/>
                <w:sz w:val="24"/>
                <w:lang w:val="en-US" w:eastAsia="zh-CN"/>
              </w:rPr>
              <w:t>球磨过程需加水，</w:t>
            </w:r>
            <w:r>
              <w:rPr>
                <w:rFonts w:hint="eastAsia" w:cs="宋体"/>
                <w:kern w:val="0"/>
                <w:sz w:val="24"/>
              </w:rPr>
              <w:t>球磨后的浆状物料溢流至分级机进行</w:t>
            </w:r>
            <w:r>
              <w:rPr>
                <w:rFonts w:hint="eastAsia" w:cs="宋体"/>
                <w:kern w:val="0"/>
                <w:sz w:val="24"/>
                <w:lang w:val="en-US" w:eastAsia="zh-CN"/>
              </w:rPr>
              <w:t>粗</w:t>
            </w:r>
            <w:r>
              <w:rPr>
                <w:rFonts w:hint="eastAsia" w:cs="宋体"/>
                <w:kern w:val="0"/>
                <w:sz w:val="24"/>
              </w:rPr>
              <w:t>分级。通过分级后，大于200目的物料返回球磨机</w:t>
            </w:r>
            <w:r>
              <w:rPr>
                <w:rFonts w:hint="eastAsia" w:cs="宋体"/>
                <w:kern w:val="0"/>
                <w:sz w:val="24"/>
                <w:lang w:val="en-US" w:eastAsia="zh-CN"/>
              </w:rPr>
              <w:t>进行磨矿</w:t>
            </w:r>
            <w:r>
              <w:rPr>
                <w:rFonts w:hint="eastAsia" w:cs="宋体"/>
                <w:kern w:val="0"/>
                <w:sz w:val="24"/>
              </w:rPr>
              <w:t>，小于等于200目的物料流入圆形分筛机分级。圆形分筛机的作用与分级机作用相同，比分级机精细，进行细分级。</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（4）均化、除铁</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来自分筛机的料浆进入均化池进行搅拌，然后被泵送至</w:t>
            </w:r>
            <w:r>
              <w:rPr>
                <w:rFonts w:hint="eastAsia" w:cs="宋体"/>
                <w:kern w:val="0"/>
                <w:sz w:val="24"/>
                <w:lang w:val="en-US" w:eastAsia="zh-CN"/>
              </w:rPr>
              <w:t>电磁机</w:t>
            </w:r>
            <w:r>
              <w:rPr>
                <w:rFonts w:hint="eastAsia" w:cs="宋体"/>
                <w:kern w:val="0"/>
                <w:sz w:val="24"/>
              </w:rPr>
              <w:t>，去除物料中的云母、铁等磁性物质。</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lang w:val="en-US" w:eastAsia="zh-CN"/>
              </w:rPr>
              <w:t>电磁机</w:t>
            </w:r>
            <w:r>
              <w:rPr>
                <w:rFonts w:hint="eastAsia" w:cs="宋体"/>
                <w:kern w:val="0"/>
                <w:sz w:val="24"/>
              </w:rPr>
              <w:t>其组成结构包括：脉动结构、线圈、铁铠、分选转环、给矿斗、磁性料斗和非磁性料斗等，工作时，磁线圈通上直流电之后，在分选区域产生磁场，待处理矿浆中的磁性矿物被吸至磁介质表面，随着分选转环移动到无磁场区域，再经水冲洗至磁性料斗，而没有磁性的产品进到非磁性料斗内。</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物料经过三次电磁除铁后，得到含铁率小于0.</w:t>
            </w:r>
            <w:r>
              <w:rPr>
                <w:rFonts w:hint="eastAsia" w:cs="宋体"/>
                <w:kern w:val="0"/>
                <w:sz w:val="24"/>
                <w:lang w:val="en-US" w:eastAsia="zh-CN"/>
              </w:rPr>
              <w:t>1</w:t>
            </w:r>
            <w:r>
              <w:rPr>
                <w:rFonts w:hint="eastAsia" w:cs="宋体"/>
                <w:kern w:val="0"/>
                <w:sz w:val="24"/>
              </w:rPr>
              <w:t>%的合格非磁性物料，通过管道送入下道脱水工序。磁性物料通过管道流入1#浓缩罐。</w:t>
            </w:r>
          </w:p>
          <w:p>
            <w:pPr>
              <w:autoSpaceDE w:val="0"/>
              <w:autoSpaceDN w:val="0"/>
              <w:adjustRightInd w:val="0"/>
              <w:snapToGrid w:val="0"/>
              <w:spacing w:line="360" w:lineRule="auto"/>
              <w:ind w:firstLine="480" w:firstLineChars="200"/>
              <w:rPr>
                <w:rFonts w:hint="eastAsia" w:eastAsia="宋体" w:cs="宋体"/>
                <w:color w:val="auto"/>
                <w:kern w:val="0"/>
                <w:sz w:val="24"/>
                <w:lang w:val="en-US" w:eastAsia="zh-CN"/>
              </w:rPr>
            </w:pPr>
            <w:r>
              <w:rPr>
                <w:rFonts w:hint="eastAsia" w:cs="宋体"/>
                <w:color w:val="auto"/>
                <w:kern w:val="0"/>
                <w:sz w:val="24"/>
              </w:rPr>
              <w:t>（5）真空脱水</w:t>
            </w:r>
          </w:p>
          <w:p>
            <w:pPr>
              <w:autoSpaceDE w:val="0"/>
              <w:autoSpaceDN w:val="0"/>
              <w:adjustRightInd w:val="0"/>
              <w:snapToGrid w:val="0"/>
              <w:spacing w:line="360" w:lineRule="auto"/>
              <w:ind w:firstLine="480" w:firstLineChars="200"/>
              <w:rPr>
                <w:rFonts w:hint="eastAsia" w:cs="宋体"/>
                <w:kern w:val="0"/>
                <w:sz w:val="24"/>
              </w:rPr>
            </w:pPr>
            <w:r>
              <w:rPr>
                <w:rFonts w:hint="eastAsia" w:cs="宋体"/>
                <w:kern w:val="0"/>
                <w:sz w:val="24"/>
              </w:rPr>
              <w:t>经过三级除铁之后的物料经管道送至2#浓缩罐，</w:t>
            </w:r>
            <w:r>
              <w:rPr>
                <w:rFonts w:hint="eastAsia" w:cs="宋体"/>
                <w:b/>
                <w:bCs/>
                <w:color w:val="auto"/>
                <w:kern w:val="0"/>
                <w:sz w:val="24"/>
                <w:u w:val="single"/>
                <w:lang w:val="en-US" w:eastAsia="zh-CN"/>
              </w:rPr>
              <w:t>经自动加药机加药（聚合氯化铝），沉淀之后，上清液直接排入储水池，下层沉淀物</w:t>
            </w:r>
            <w:r>
              <w:rPr>
                <w:rFonts w:hint="eastAsia" w:cs="宋体"/>
                <w:kern w:val="0"/>
                <w:sz w:val="24"/>
              </w:rPr>
              <w:t>进入真空</w:t>
            </w:r>
            <w:r>
              <w:rPr>
                <w:rFonts w:hint="eastAsia" w:cs="宋体"/>
                <w:kern w:val="0"/>
                <w:sz w:val="24"/>
                <w:lang w:val="en-US" w:eastAsia="zh-CN"/>
              </w:rPr>
              <w:t>带式脱水机</w:t>
            </w:r>
            <w:r>
              <w:rPr>
                <w:rFonts w:hint="eastAsia" w:cs="宋体"/>
                <w:kern w:val="0"/>
                <w:sz w:val="24"/>
              </w:rPr>
              <w:t>进行脱水</w:t>
            </w:r>
            <w:r>
              <w:rPr>
                <w:rFonts w:hint="eastAsia" w:cs="宋体"/>
                <w:kern w:val="0"/>
                <w:sz w:val="24"/>
                <w:lang w:eastAsia="zh-CN"/>
              </w:rPr>
              <w:t>。</w:t>
            </w:r>
            <w:r>
              <w:rPr>
                <w:rFonts w:hint="eastAsia" w:cs="宋体"/>
                <w:kern w:val="0"/>
                <w:sz w:val="24"/>
                <w:lang w:val="en-US" w:eastAsia="zh-CN"/>
              </w:rPr>
              <w:t>真空带式脱水机</w:t>
            </w:r>
            <w:r>
              <w:rPr>
                <w:rFonts w:hint="eastAsia" w:cs="宋体"/>
                <w:kern w:val="0"/>
                <w:sz w:val="24"/>
              </w:rPr>
              <w:t>通过真空抽吸浆液达到脱水的目的。浆液被送入真空皮带脱水机的滤布上，滤布是通过一条重型橡胶皮带传送的，此橡胶皮带上横向开有凹槽且中间开有通孔以使液体能够吸入真空箱。滤液和空气同时被抽送到真空总管，真空滤液收集管中滤液进入气液分离器进行气水分离，气液分离器顶部出口与真空泵相连，气体出真空泵抽走。分离后的滤液由气液分离器底部出口进入滤液接收水箱。浆液经真空抽吸经过成形区、冲洗区和干燥区形成合格的滤饼，在卸料区送入卸料槽。</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lang w:eastAsia="zh-CN"/>
              </w:rPr>
              <w:t>真空带式脱水机</w:t>
            </w:r>
            <w:r>
              <w:rPr>
                <w:rFonts w:hint="eastAsia" w:cs="宋体"/>
                <w:kern w:val="0"/>
                <w:sz w:val="24"/>
              </w:rPr>
              <w:t>脱水后的物料含水率在</w:t>
            </w:r>
            <w:r>
              <w:rPr>
                <w:rFonts w:hint="eastAsia" w:cs="宋体"/>
                <w:kern w:val="0"/>
                <w:sz w:val="24"/>
                <w:lang w:val="en-US" w:eastAsia="zh-CN"/>
              </w:rPr>
              <w:t>16</w:t>
            </w:r>
            <w:r>
              <w:rPr>
                <w:rFonts w:hint="eastAsia" w:cs="宋体"/>
                <w:kern w:val="0"/>
                <w:sz w:val="24"/>
              </w:rPr>
              <w:t>%</w:t>
            </w:r>
            <w:r>
              <w:rPr>
                <w:rFonts w:hint="eastAsia" w:cs="宋体"/>
                <w:kern w:val="0"/>
                <w:sz w:val="24"/>
                <w:lang w:val="en-US" w:eastAsia="zh-CN"/>
              </w:rPr>
              <w:t>左右</w:t>
            </w:r>
            <w:r>
              <w:rPr>
                <w:rFonts w:hint="eastAsia" w:cs="宋体"/>
                <w:kern w:val="0"/>
                <w:sz w:val="24"/>
              </w:rPr>
              <w:t>，通过</w:t>
            </w:r>
            <w:r>
              <w:rPr>
                <w:rFonts w:hint="eastAsia" w:cs="宋体"/>
                <w:kern w:val="0"/>
                <w:sz w:val="24"/>
                <w:lang w:val="en-US" w:eastAsia="zh-CN"/>
              </w:rPr>
              <w:t>皮带输送机</w:t>
            </w:r>
            <w:r>
              <w:rPr>
                <w:rFonts w:hint="eastAsia" w:cs="宋体"/>
                <w:kern w:val="0"/>
                <w:sz w:val="24"/>
              </w:rPr>
              <w:t>送入半成品</w:t>
            </w:r>
            <w:r>
              <w:rPr>
                <w:rFonts w:hint="eastAsia" w:cs="宋体"/>
                <w:kern w:val="0"/>
                <w:sz w:val="24"/>
                <w:lang w:val="en-US" w:eastAsia="zh-CN"/>
              </w:rPr>
              <w:t>库堆存</w:t>
            </w:r>
            <w:r>
              <w:rPr>
                <w:rFonts w:hint="eastAsia" w:cs="宋体"/>
                <w:kern w:val="0"/>
                <w:sz w:val="24"/>
              </w:rPr>
              <w:t>。真空</w:t>
            </w:r>
            <w:r>
              <w:rPr>
                <w:rFonts w:hint="eastAsia" w:cs="宋体"/>
                <w:kern w:val="0"/>
                <w:sz w:val="24"/>
                <w:lang w:val="en-US" w:eastAsia="zh-CN"/>
              </w:rPr>
              <w:t>带式脱水机脱水过程中产生</w:t>
            </w:r>
            <w:r>
              <w:rPr>
                <w:rFonts w:hint="eastAsia" w:cs="宋体"/>
                <w:kern w:val="0"/>
                <w:sz w:val="24"/>
              </w:rPr>
              <w:t>的废水经排水管道排入储水池。</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（6）烘干</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利用铲车将半成品送入烘干工序上料斗，经皮带机送入一台转筒烘干机进行烘干。转筒烘干机采用顺流式加热方式，利用空气加热器产生的250℃高温空气，与筒内的物料进行热交换，所含的水分逐渐被烘干，从而达到烘干的目的。烘干后的物料水分含量控制在1%以下。烘干后的物料通过烘干机尾部出料口经皮带机送入分选工序。</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烘干机以天然气作为能源（燃料），天然气属于清洁能源，烘干机产生的废气，通过烘干机尾部的管道收集后，</w:t>
            </w:r>
            <w:r>
              <w:rPr>
                <w:rFonts w:hint="eastAsia" w:cs="宋体"/>
                <w:kern w:val="0"/>
                <w:sz w:val="24"/>
                <w:lang w:val="en-US" w:eastAsia="zh-CN"/>
              </w:rPr>
              <w:t>经2级旋风除尘、</w:t>
            </w:r>
            <w:r>
              <w:rPr>
                <w:rFonts w:hint="eastAsia" w:cs="宋体"/>
                <w:color w:val="auto"/>
                <w:kern w:val="0"/>
                <w:sz w:val="24"/>
              </w:rPr>
              <w:t>2级袋式除尘器净</w:t>
            </w:r>
            <w:r>
              <w:rPr>
                <w:rFonts w:hint="eastAsia" w:cs="宋体"/>
                <w:kern w:val="0"/>
                <w:sz w:val="24"/>
              </w:rPr>
              <w:t>化处理后达标排放。</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（7）分选</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烘干后的产品直接</w:t>
            </w:r>
            <w:r>
              <w:rPr>
                <w:rFonts w:hint="eastAsia" w:cs="宋体"/>
                <w:kern w:val="0"/>
                <w:sz w:val="24"/>
                <w:lang w:val="en-US" w:eastAsia="zh-CN"/>
              </w:rPr>
              <w:t>进入选粉机</w:t>
            </w:r>
            <w:r>
              <w:rPr>
                <w:rFonts w:hint="eastAsia" w:cs="宋体"/>
                <w:kern w:val="0"/>
                <w:sz w:val="24"/>
              </w:rPr>
              <w:t>内进行分选，分选主要是采用旋风离心分级，其主要工作原理是：物料被高速气流流携带从分离器切向进入分离器内，气流沿圆形分离器内壁作高速旋转运动，在强离心力的作用下，物料中的粗颗粒沿分离器锥形内壁向下旋转下沉至下出料口排出，</w:t>
            </w:r>
            <w:r>
              <w:rPr>
                <w:rFonts w:hint="eastAsia" w:cs="宋体"/>
                <w:b/>
                <w:bCs/>
                <w:kern w:val="0"/>
                <w:sz w:val="24"/>
                <w:u w:val="single"/>
                <w:lang w:val="en-US" w:eastAsia="zh-CN"/>
              </w:rPr>
              <w:t>经提升机输送至1#成品仓内；</w:t>
            </w:r>
            <w:r>
              <w:rPr>
                <w:rFonts w:hint="eastAsia" w:cs="宋体"/>
                <w:kern w:val="0"/>
                <w:sz w:val="24"/>
              </w:rPr>
              <w:t>细颗粒由于向心力的作用向分离器中心集中并随气流上升从上出口徘出，</w:t>
            </w:r>
            <w:r>
              <w:rPr>
                <w:rFonts w:hint="eastAsia" w:cs="宋体"/>
                <w:b/>
                <w:bCs/>
                <w:kern w:val="0"/>
                <w:sz w:val="24"/>
                <w:u w:val="single"/>
                <w:lang w:val="en-US" w:eastAsia="zh-CN"/>
              </w:rPr>
              <w:t>经提升机输送至2#、3#成品仓内</w:t>
            </w:r>
            <w:r>
              <w:rPr>
                <w:rFonts w:hint="eastAsia" w:cs="宋体"/>
                <w:kern w:val="0"/>
                <w:sz w:val="24"/>
                <w:lang w:val="en-US" w:eastAsia="zh-CN"/>
              </w:rPr>
              <w:t>，</w:t>
            </w:r>
            <w:r>
              <w:rPr>
                <w:rFonts w:hint="eastAsia" w:cs="宋体"/>
                <w:kern w:val="0"/>
                <w:sz w:val="24"/>
              </w:rPr>
              <w:t>从而达到了粗细粒子分级的目的。</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（8）包装</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分选后的产品通过提升机进入设置的3个</w:t>
            </w:r>
            <w:r>
              <w:rPr>
                <w:rFonts w:hint="eastAsia" w:cs="宋体"/>
                <w:kern w:val="0"/>
                <w:sz w:val="24"/>
                <w:lang w:val="en-US" w:eastAsia="zh-CN"/>
              </w:rPr>
              <w:t>密闭</w:t>
            </w:r>
            <w:r>
              <w:rPr>
                <w:rFonts w:hint="eastAsia" w:cs="宋体"/>
                <w:kern w:val="0"/>
                <w:sz w:val="24"/>
              </w:rPr>
              <w:t>成品</w:t>
            </w:r>
            <w:r>
              <w:rPr>
                <w:rFonts w:hint="eastAsia" w:cs="宋体"/>
                <w:kern w:val="0"/>
                <w:sz w:val="24"/>
                <w:lang w:val="en-US" w:eastAsia="zh-CN"/>
              </w:rPr>
              <w:t>料</w:t>
            </w:r>
            <w:r>
              <w:rPr>
                <w:rFonts w:hint="eastAsia" w:cs="宋体"/>
                <w:kern w:val="0"/>
                <w:sz w:val="24"/>
              </w:rPr>
              <w:t>仓中，然后进行包装</w:t>
            </w:r>
            <w:r>
              <w:rPr>
                <w:rFonts w:hint="eastAsia" w:cs="宋体"/>
                <w:kern w:val="0"/>
                <w:sz w:val="24"/>
                <w:lang w:eastAsia="zh-CN"/>
              </w:rPr>
              <w:t>；</w:t>
            </w:r>
            <w:r>
              <w:rPr>
                <w:rFonts w:hint="eastAsia" w:cs="宋体"/>
                <w:kern w:val="0"/>
                <w:sz w:val="24"/>
              </w:rPr>
              <w:t>除尘器</w:t>
            </w:r>
            <w:r>
              <w:rPr>
                <w:rFonts w:hint="eastAsia" w:cs="宋体"/>
                <w:kern w:val="0"/>
                <w:sz w:val="24"/>
                <w:lang w:val="en-US" w:eastAsia="zh-CN"/>
              </w:rPr>
              <w:t>收集</w:t>
            </w:r>
            <w:r>
              <w:rPr>
                <w:rFonts w:hint="eastAsia" w:cs="宋体"/>
                <w:kern w:val="0"/>
                <w:sz w:val="24"/>
              </w:rPr>
              <w:t>的粉尘通过</w:t>
            </w:r>
            <w:r>
              <w:rPr>
                <w:rFonts w:hint="eastAsia" w:cs="宋体"/>
                <w:kern w:val="0"/>
                <w:sz w:val="24"/>
                <w:lang w:val="en-US" w:eastAsia="zh-CN"/>
              </w:rPr>
              <w:t>密闭的螺旋输送机、提升机</w:t>
            </w:r>
            <w:r>
              <w:rPr>
                <w:rFonts w:hint="eastAsia" w:cs="宋体"/>
                <w:kern w:val="0"/>
                <w:sz w:val="24"/>
              </w:rPr>
              <w:t>送至</w:t>
            </w:r>
            <w:r>
              <w:rPr>
                <w:rFonts w:hint="eastAsia" w:cs="宋体"/>
                <w:kern w:val="0"/>
                <w:sz w:val="24"/>
                <w:lang w:val="en-US" w:eastAsia="zh-CN"/>
              </w:rPr>
              <w:t>密闭成品料</w:t>
            </w:r>
            <w:r>
              <w:rPr>
                <w:rFonts w:hint="eastAsia" w:cs="宋体"/>
                <w:kern w:val="0"/>
                <w:sz w:val="24"/>
              </w:rPr>
              <w:t>仓，经</w:t>
            </w:r>
            <w:r>
              <w:rPr>
                <w:rFonts w:hint="eastAsia" w:cs="宋体"/>
                <w:kern w:val="0"/>
                <w:sz w:val="24"/>
                <w:lang w:val="en-US" w:eastAsia="zh-CN"/>
              </w:rPr>
              <w:t>密闭成品料仓</w:t>
            </w:r>
            <w:r>
              <w:rPr>
                <w:rFonts w:hint="eastAsia" w:cs="宋体"/>
                <w:kern w:val="0"/>
                <w:sz w:val="24"/>
              </w:rPr>
              <w:t>下料口进入自动包装机进行包装。包装规格为50kg/袋，包装后的产品</w:t>
            </w:r>
            <w:r>
              <w:rPr>
                <w:rFonts w:hint="eastAsia" w:cs="宋体"/>
                <w:kern w:val="0"/>
                <w:sz w:val="24"/>
                <w:lang w:val="en-US" w:eastAsia="zh-CN"/>
              </w:rPr>
              <w:t>堆存在成品库内</w:t>
            </w:r>
            <w:r>
              <w:rPr>
                <w:rFonts w:hint="eastAsia" w:cs="宋体"/>
                <w:kern w:val="0"/>
                <w:sz w:val="24"/>
              </w:rPr>
              <w:t>外售。</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2 物料平衡</w:t>
            </w:r>
          </w:p>
          <w:p>
            <w:pPr>
              <w:spacing w:line="360" w:lineRule="auto"/>
              <w:jc w:val="center"/>
              <w:rPr>
                <w:b/>
                <w:bCs/>
                <w:color w:val="000000"/>
                <w:sz w:val="24"/>
                <w:szCs w:val="32"/>
              </w:rPr>
            </w:pPr>
            <w:r>
              <w:rPr>
                <w:b/>
                <w:bCs/>
                <w:color w:val="000000"/>
                <w:sz w:val="24"/>
                <w:szCs w:val="32"/>
              </w:rPr>
              <w:object>
                <v:shape id="_x0000_i1027" o:spt="75" type="#_x0000_t75" style="height:415.8pt;width:338.95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p>
          <w:p>
            <w:pPr>
              <w:spacing w:line="360" w:lineRule="auto"/>
              <w:ind w:firstLine="482" w:firstLineChars="200"/>
              <w:jc w:val="center"/>
              <w:rPr>
                <w:b/>
                <w:bCs/>
                <w:color w:val="auto"/>
                <w:sz w:val="24"/>
                <w:szCs w:val="32"/>
                <w:u w:val="single"/>
              </w:rPr>
            </w:pPr>
            <w:r>
              <w:rPr>
                <w:b/>
                <w:bCs/>
                <w:color w:val="auto"/>
                <w:sz w:val="24"/>
                <w:szCs w:val="32"/>
                <w:u w:val="single"/>
              </w:rPr>
              <w:t>图</w:t>
            </w:r>
            <w:r>
              <w:rPr>
                <w:rFonts w:hint="eastAsia"/>
                <w:b/>
                <w:bCs/>
                <w:color w:val="auto"/>
                <w:sz w:val="24"/>
                <w:szCs w:val="32"/>
                <w:u w:val="single"/>
              </w:rPr>
              <w:t>3</w:t>
            </w:r>
            <w:r>
              <w:rPr>
                <w:b/>
                <w:bCs/>
                <w:color w:val="auto"/>
                <w:sz w:val="24"/>
                <w:szCs w:val="32"/>
                <w:u w:val="single"/>
              </w:rPr>
              <w:t xml:space="preserve">  </w:t>
            </w:r>
            <w:r>
              <w:rPr>
                <w:rFonts w:hint="eastAsia"/>
                <w:b/>
                <w:bCs/>
                <w:color w:val="auto"/>
                <w:sz w:val="24"/>
                <w:szCs w:val="32"/>
                <w:u w:val="single"/>
                <w:lang w:val="en-US" w:eastAsia="zh-CN"/>
              </w:rPr>
              <w:t xml:space="preserve"> </w:t>
            </w:r>
            <w:r>
              <w:rPr>
                <w:b/>
                <w:bCs/>
                <w:color w:val="auto"/>
                <w:sz w:val="24"/>
                <w:szCs w:val="32"/>
                <w:u w:val="single"/>
              </w:rPr>
              <w:t xml:space="preserve"> 本项目物料平衡示意图</w:t>
            </w:r>
            <w:r>
              <w:rPr>
                <w:rFonts w:hint="eastAsia"/>
                <w:b/>
                <w:bCs/>
                <w:color w:val="auto"/>
                <w:sz w:val="24"/>
                <w:szCs w:val="32"/>
                <w:u w:val="single"/>
              </w:rPr>
              <w:t>（单位：t/a）</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3 产排污环节</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本项目产生的污染物主要为废气、废水、固废、噪声，具体产污工序见表2-5。</w:t>
            </w:r>
          </w:p>
          <w:p>
            <w:pPr>
              <w:pStyle w:val="44"/>
              <w:spacing w:line="360" w:lineRule="auto"/>
              <w:rPr>
                <w:rFonts w:eastAsia="宋体"/>
                <w:sz w:val="24"/>
                <w:szCs w:val="24"/>
              </w:rPr>
            </w:pPr>
            <w:r>
              <w:rPr>
                <w:rFonts w:hint="eastAsia" w:eastAsia="宋体"/>
                <w:sz w:val="24"/>
                <w:szCs w:val="24"/>
              </w:rPr>
              <w:t>表2-5    本项目主要污染工序一览表</w:t>
            </w:r>
          </w:p>
          <w:tbl>
            <w:tblPr>
              <w:tblStyle w:val="27"/>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46"/>
              <w:gridCol w:w="3139"/>
              <w:gridCol w:w="29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Align w:val="center"/>
                </w:tcPr>
                <w:p>
                  <w:pPr>
                    <w:autoSpaceDE w:val="0"/>
                    <w:autoSpaceDN w:val="0"/>
                    <w:adjustRightInd w:val="0"/>
                    <w:snapToGrid w:val="0"/>
                    <w:jc w:val="center"/>
                    <w:rPr>
                      <w:rFonts w:cs="宋体"/>
                      <w:b/>
                      <w:bCs/>
                      <w:kern w:val="0"/>
                      <w:szCs w:val="21"/>
                    </w:rPr>
                  </w:pPr>
                  <w:r>
                    <w:rPr>
                      <w:rFonts w:hint="eastAsia" w:cs="宋体"/>
                      <w:b/>
                      <w:bCs/>
                      <w:kern w:val="0"/>
                      <w:szCs w:val="21"/>
                    </w:rPr>
                    <w:t>阶段</w:t>
                  </w:r>
                </w:p>
              </w:tc>
              <w:tc>
                <w:tcPr>
                  <w:tcW w:w="946" w:type="dxa"/>
                  <w:vAlign w:val="center"/>
                </w:tcPr>
                <w:p>
                  <w:pPr>
                    <w:autoSpaceDE w:val="0"/>
                    <w:autoSpaceDN w:val="0"/>
                    <w:adjustRightInd w:val="0"/>
                    <w:snapToGrid w:val="0"/>
                    <w:jc w:val="center"/>
                    <w:rPr>
                      <w:rFonts w:cs="宋体"/>
                      <w:b/>
                      <w:bCs/>
                      <w:kern w:val="0"/>
                      <w:szCs w:val="21"/>
                    </w:rPr>
                  </w:pPr>
                  <w:r>
                    <w:rPr>
                      <w:rFonts w:hint="eastAsia" w:cs="宋体"/>
                      <w:b/>
                      <w:bCs/>
                      <w:kern w:val="0"/>
                      <w:szCs w:val="21"/>
                    </w:rPr>
                    <w:t>项目</w:t>
                  </w:r>
                </w:p>
              </w:tc>
              <w:tc>
                <w:tcPr>
                  <w:tcW w:w="3139" w:type="dxa"/>
                  <w:vAlign w:val="center"/>
                </w:tcPr>
                <w:p>
                  <w:pPr>
                    <w:autoSpaceDE w:val="0"/>
                    <w:autoSpaceDN w:val="0"/>
                    <w:adjustRightInd w:val="0"/>
                    <w:snapToGrid w:val="0"/>
                    <w:jc w:val="center"/>
                    <w:rPr>
                      <w:rFonts w:cs="宋体"/>
                      <w:b/>
                      <w:bCs/>
                      <w:kern w:val="0"/>
                      <w:szCs w:val="21"/>
                    </w:rPr>
                  </w:pPr>
                  <w:r>
                    <w:rPr>
                      <w:rFonts w:hint="eastAsia" w:cs="宋体"/>
                      <w:b/>
                      <w:bCs/>
                      <w:kern w:val="0"/>
                      <w:szCs w:val="21"/>
                    </w:rPr>
                    <w:t>产物环节</w:t>
                  </w:r>
                </w:p>
              </w:tc>
              <w:tc>
                <w:tcPr>
                  <w:tcW w:w="2999" w:type="dxa"/>
                  <w:vAlign w:val="center"/>
                </w:tcPr>
                <w:p>
                  <w:pPr>
                    <w:autoSpaceDE w:val="0"/>
                    <w:autoSpaceDN w:val="0"/>
                    <w:adjustRightInd w:val="0"/>
                    <w:snapToGrid w:val="0"/>
                    <w:jc w:val="center"/>
                    <w:rPr>
                      <w:rFonts w:cs="宋体"/>
                      <w:b/>
                      <w:bCs/>
                      <w:kern w:val="0"/>
                      <w:szCs w:val="21"/>
                    </w:rPr>
                  </w:pPr>
                  <w:r>
                    <w:rPr>
                      <w:rFonts w:hint="eastAsia" w:cs="宋体"/>
                      <w:b/>
                      <w:bCs/>
                      <w:kern w:val="0"/>
                      <w:szCs w:val="21"/>
                    </w:rPr>
                    <w:t>主要污染物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施工期</w:t>
                  </w:r>
                </w:p>
              </w:tc>
              <w:tc>
                <w:tcPr>
                  <w:tcW w:w="946" w:type="dxa"/>
                  <w:vAlign w:val="center"/>
                </w:tcPr>
                <w:p>
                  <w:pPr>
                    <w:autoSpaceDE w:val="0"/>
                    <w:autoSpaceDN w:val="0"/>
                    <w:adjustRightInd w:val="0"/>
                    <w:snapToGrid w:val="0"/>
                    <w:jc w:val="center"/>
                    <w:rPr>
                      <w:rFonts w:cs="宋体"/>
                      <w:kern w:val="0"/>
                      <w:szCs w:val="21"/>
                    </w:rPr>
                  </w:pPr>
                  <w:r>
                    <w:rPr>
                      <w:rFonts w:hint="eastAsia" w:cs="宋体"/>
                      <w:kern w:val="0"/>
                      <w:szCs w:val="21"/>
                    </w:rPr>
                    <w:t>废气</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建筑施工、物料运输等</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废水</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车辆冲洗水等施工废水</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施工人员生活污水</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COD、BOD</w:t>
                  </w:r>
                  <w:r>
                    <w:rPr>
                      <w:rFonts w:hint="eastAsia" w:cs="宋体"/>
                      <w:kern w:val="0"/>
                      <w:szCs w:val="21"/>
                      <w:vertAlign w:val="subscript"/>
                    </w:rPr>
                    <w:t>5</w:t>
                  </w:r>
                  <w:r>
                    <w:rPr>
                      <w:rFonts w:hint="eastAsia" w:cs="宋体"/>
                      <w:kern w:val="0"/>
                      <w:szCs w:val="21"/>
                    </w:rPr>
                    <w:t>、氨氮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Align w:val="center"/>
                </w:tcPr>
                <w:p>
                  <w:pPr>
                    <w:autoSpaceDE w:val="0"/>
                    <w:autoSpaceDN w:val="0"/>
                    <w:adjustRightInd w:val="0"/>
                    <w:snapToGrid w:val="0"/>
                    <w:jc w:val="center"/>
                    <w:rPr>
                      <w:rFonts w:cs="宋体"/>
                      <w:kern w:val="0"/>
                      <w:szCs w:val="21"/>
                    </w:rPr>
                  </w:pPr>
                  <w:r>
                    <w:rPr>
                      <w:rFonts w:hint="eastAsia" w:cs="宋体"/>
                      <w:kern w:val="0"/>
                      <w:szCs w:val="21"/>
                    </w:rPr>
                    <w:t>噪声</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机械噪声、施工作业噪声</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等效声级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固废</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施工过程</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建筑垃圾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生活垃圾</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生活垃圾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营运期</w:t>
                  </w:r>
                </w:p>
              </w:tc>
              <w:tc>
                <w:tcPr>
                  <w:tcW w:w="946"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废气</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原料装卸</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原料上料</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破碎工序</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烘干工序</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SO</w:t>
                  </w:r>
                  <w:r>
                    <w:rPr>
                      <w:rFonts w:hint="eastAsia" w:cs="宋体"/>
                      <w:kern w:val="0"/>
                      <w:szCs w:val="21"/>
                      <w:vertAlign w:val="subscript"/>
                    </w:rPr>
                    <w:t>2</w:t>
                  </w:r>
                  <w:r>
                    <w:rPr>
                      <w:rFonts w:hint="eastAsia" w:cs="宋体"/>
                      <w:kern w:val="0"/>
                      <w:szCs w:val="21"/>
                    </w:rPr>
                    <w:t>、NOx、颗粒物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hint="eastAsia" w:eastAsia="宋体" w:cs="宋体"/>
                      <w:b/>
                      <w:bCs/>
                      <w:kern w:val="0"/>
                      <w:szCs w:val="21"/>
                      <w:u w:val="single"/>
                      <w:lang w:val="en-US" w:eastAsia="zh-CN"/>
                    </w:rPr>
                  </w:pPr>
                  <w:r>
                    <w:rPr>
                      <w:rFonts w:hint="eastAsia" w:cs="宋体"/>
                      <w:b/>
                      <w:bCs/>
                      <w:kern w:val="0"/>
                      <w:szCs w:val="21"/>
                      <w:u w:val="single"/>
                      <w:lang w:val="en-US" w:eastAsia="zh-CN"/>
                    </w:rPr>
                    <w:t>成品料仓</w:t>
                  </w:r>
                </w:p>
              </w:tc>
              <w:tc>
                <w:tcPr>
                  <w:tcW w:w="2999" w:type="dxa"/>
                  <w:vAlign w:val="center"/>
                </w:tcPr>
                <w:p>
                  <w:pPr>
                    <w:autoSpaceDE w:val="0"/>
                    <w:autoSpaceDN w:val="0"/>
                    <w:adjustRightInd w:val="0"/>
                    <w:snapToGrid w:val="0"/>
                    <w:jc w:val="center"/>
                    <w:rPr>
                      <w:rFonts w:hint="eastAsia" w:eastAsia="宋体" w:cs="宋体"/>
                      <w:b/>
                      <w:bCs/>
                      <w:kern w:val="0"/>
                      <w:szCs w:val="21"/>
                      <w:u w:val="single"/>
                      <w:lang w:val="en-US" w:eastAsia="zh-CN"/>
                    </w:rPr>
                  </w:pPr>
                  <w:r>
                    <w:rPr>
                      <w:rFonts w:hint="eastAsia" w:cs="宋体"/>
                      <w:b/>
                      <w:bCs/>
                      <w:kern w:val="0"/>
                      <w:szCs w:val="21"/>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hint="eastAsia" w:ascii="Times New Roman" w:hAnsi="Times New Roman" w:eastAsia="宋体" w:cs="宋体"/>
                      <w:b/>
                      <w:bCs/>
                      <w:kern w:val="0"/>
                      <w:sz w:val="21"/>
                      <w:szCs w:val="21"/>
                      <w:u w:val="single"/>
                      <w:lang w:val="en-US" w:eastAsia="zh-CN" w:bidi="ar-SA"/>
                    </w:rPr>
                  </w:pPr>
                  <w:r>
                    <w:rPr>
                      <w:rFonts w:hint="eastAsia" w:cs="宋体"/>
                      <w:b/>
                      <w:bCs/>
                      <w:kern w:val="0"/>
                      <w:szCs w:val="21"/>
                      <w:u w:val="single"/>
                      <w:lang w:val="en-US" w:eastAsia="zh-CN"/>
                    </w:rPr>
                    <w:t>包装工序</w:t>
                  </w:r>
                </w:p>
              </w:tc>
              <w:tc>
                <w:tcPr>
                  <w:tcW w:w="2999" w:type="dxa"/>
                  <w:vAlign w:val="center"/>
                </w:tcPr>
                <w:p>
                  <w:pPr>
                    <w:autoSpaceDE w:val="0"/>
                    <w:autoSpaceDN w:val="0"/>
                    <w:adjustRightInd w:val="0"/>
                    <w:snapToGrid w:val="0"/>
                    <w:jc w:val="center"/>
                    <w:rPr>
                      <w:rFonts w:hint="eastAsia" w:ascii="Times New Roman" w:hAnsi="Times New Roman" w:eastAsia="宋体" w:cs="宋体"/>
                      <w:b/>
                      <w:bCs/>
                      <w:kern w:val="0"/>
                      <w:sz w:val="21"/>
                      <w:szCs w:val="21"/>
                      <w:u w:val="single"/>
                      <w:lang w:val="en-US" w:eastAsia="zh-CN" w:bidi="ar-SA"/>
                    </w:rPr>
                  </w:pPr>
                  <w:r>
                    <w:rPr>
                      <w:rFonts w:hint="eastAsia" w:cs="宋体"/>
                      <w:b/>
                      <w:bCs/>
                      <w:kern w:val="0"/>
                      <w:szCs w:val="21"/>
                      <w:u w:val="single"/>
                      <w:lang w:val="en-US" w:eastAsia="zh-CN"/>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废水</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生产废水：洗矿工序、球磨工序、磁选工序、脱水工序、进出车辆冲洗水</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生活废水</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COD、BOD</w:t>
                  </w:r>
                  <w:r>
                    <w:rPr>
                      <w:rFonts w:hint="eastAsia" w:cs="宋体"/>
                      <w:kern w:val="0"/>
                      <w:szCs w:val="21"/>
                      <w:vertAlign w:val="subscript"/>
                    </w:rPr>
                    <w:t>5</w:t>
                  </w:r>
                  <w:r>
                    <w:rPr>
                      <w:rFonts w:hint="eastAsia" w:cs="宋体"/>
                      <w:kern w:val="0"/>
                      <w:szCs w:val="21"/>
                    </w:rPr>
                    <w:t>、氨氮、动植物油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Align w:val="center"/>
                </w:tcPr>
                <w:p>
                  <w:pPr>
                    <w:autoSpaceDE w:val="0"/>
                    <w:autoSpaceDN w:val="0"/>
                    <w:adjustRightInd w:val="0"/>
                    <w:snapToGrid w:val="0"/>
                    <w:jc w:val="center"/>
                    <w:rPr>
                      <w:rFonts w:cs="宋体"/>
                      <w:kern w:val="0"/>
                      <w:szCs w:val="21"/>
                    </w:rPr>
                  </w:pPr>
                  <w:r>
                    <w:rPr>
                      <w:rFonts w:hint="eastAsia" w:cs="宋体"/>
                      <w:kern w:val="0"/>
                      <w:szCs w:val="21"/>
                    </w:rPr>
                    <w:t>噪声</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各种生产设备</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等效声级、振动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restart"/>
                  <w:vAlign w:val="center"/>
                </w:tcPr>
                <w:p>
                  <w:pPr>
                    <w:autoSpaceDE w:val="0"/>
                    <w:autoSpaceDN w:val="0"/>
                    <w:adjustRightInd w:val="0"/>
                    <w:snapToGrid w:val="0"/>
                    <w:jc w:val="center"/>
                    <w:rPr>
                      <w:rFonts w:cs="宋体"/>
                      <w:kern w:val="0"/>
                      <w:szCs w:val="21"/>
                    </w:rPr>
                  </w:pPr>
                  <w:r>
                    <w:rPr>
                      <w:rFonts w:hint="eastAsia" w:cs="宋体"/>
                      <w:kern w:val="0"/>
                      <w:szCs w:val="21"/>
                    </w:rPr>
                    <w:t>固废</w:t>
                  </w: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生产过程</w:t>
                  </w:r>
                </w:p>
              </w:tc>
              <w:tc>
                <w:tcPr>
                  <w:tcW w:w="2999" w:type="dxa"/>
                  <w:vAlign w:val="center"/>
                </w:tcPr>
                <w:p>
                  <w:pPr>
                    <w:autoSpaceDE w:val="0"/>
                    <w:autoSpaceDN w:val="0"/>
                    <w:adjustRightInd w:val="0"/>
                    <w:snapToGrid w:val="0"/>
                    <w:jc w:val="center"/>
                    <w:rPr>
                      <w:rFonts w:hint="eastAsia" w:eastAsia="宋体" w:cs="宋体"/>
                      <w:kern w:val="0"/>
                      <w:szCs w:val="21"/>
                      <w:lang w:val="en-US" w:eastAsia="zh-CN"/>
                    </w:rPr>
                  </w:pPr>
                  <w:r>
                    <w:rPr>
                      <w:rFonts w:hint="eastAsia" w:cs="宋体"/>
                      <w:b/>
                      <w:bCs/>
                      <w:kern w:val="0"/>
                      <w:szCs w:val="21"/>
                      <w:u w:val="single"/>
                    </w:rPr>
                    <w:t>压</w:t>
                  </w:r>
                  <w:r>
                    <w:rPr>
                      <w:rFonts w:hint="eastAsia" w:cs="宋体"/>
                      <w:b/>
                      <w:bCs/>
                      <w:kern w:val="0"/>
                      <w:szCs w:val="21"/>
                      <w:u w:val="single"/>
                      <w:lang w:eastAsia="zh-CN"/>
                    </w:rPr>
                    <w:t>滤</w:t>
                  </w:r>
                  <w:r>
                    <w:rPr>
                      <w:rFonts w:hint="eastAsia" w:cs="宋体"/>
                      <w:b/>
                      <w:bCs/>
                      <w:kern w:val="0"/>
                      <w:szCs w:val="21"/>
                      <w:u w:val="single"/>
                      <w:lang w:val="en-US" w:eastAsia="zh-CN"/>
                    </w:rPr>
                    <w:t>料，袋式除尘器收集粉尘，废机油、废润滑油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51" w:type="dxa"/>
                  <w:vMerge w:val="continue"/>
                  <w:vAlign w:val="center"/>
                </w:tcPr>
                <w:p>
                  <w:pPr>
                    <w:autoSpaceDE w:val="0"/>
                    <w:autoSpaceDN w:val="0"/>
                    <w:adjustRightInd w:val="0"/>
                    <w:snapToGrid w:val="0"/>
                    <w:jc w:val="center"/>
                    <w:rPr>
                      <w:rFonts w:cs="宋体"/>
                      <w:kern w:val="0"/>
                      <w:szCs w:val="21"/>
                    </w:rPr>
                  </w:pPr>
                </w:p>
              </w:tc>
              <w:tc>
                <w:tcPr>
                  <w:tcW w:w="946" w:type="dxa"/>
                  <w:vMerge w:val="continue"/>
                  <w:vAlign w:val="center"/>
                </w:tcPr>
                <w:p>
                  <w:pPr>
                    <w:autoSpaceDE w:val="0"/>
                    <w:autoSpaceDN w:val="0"/>
                    <w:adjustRightInd w:val="0"/>
                    <w:snapToGrid w:val="0"/>
                    <w:jc w:val="center"/>
                    <w:rPr>
                      <w:rFonts w:cs="宋体"/>
                      <w:kern w:val="0"/>
                      <w:szCs w:val="21"/>
                    </w:rPr>
                  </w:pPr>
                </w:p>
              </w:tc>
              <w:tc>
                <w:tcPr>
                  <w:tcW w:w="3139" w:type="dxa"/>
                  <w:vAlign w:val="center"/>
                </w:tcPr>
                <w:p>
                  <w:pPr>
                    <w:autoSpaceDE w:val="0"/>
                    <w:autoSpaceDN w:val="0"/>
                    <w:adjustRightInd w:val="0"/>
                    <w:snapToGrid w:val="0"/>
                    <w:jc w:val="center"/>
                    <w:rPr>
                      <w:rFonts w:cs="宋体"/>
                      <w:kern w:val="0"/>
                      <w:szCs w:val="21"/>
                    </w:rPr>
                  </w:pPr>
                  <w:r>
                    <w:rPr>
                      <w:rFonts w:hint="eastAsia" w:cs="宋体"/>
                      <w:kern w:val="0"/>
                      <w:szCs w:val="21"/>
                    </w:rPr>
                    <w:t>生活垃圾</w:t>
                  </w:r>
                </w:p>
              </w:tc>
              <w:tc>
                <w:tcPr>
                  <w:tcW w:w="2999" w:type="dxa"/>
                  <w:vAlign w:val="center"/>
                </w:tcPr>
                <w:p>
                  <w:pPr>
                    <w:autoSpaceDE w:val="0"/>
                    <w:autoSpaceDN w:val="0"/>
                    <w:adjustRightInd w:val="0"/>
                    <w:snapToGrid w:val="0"/>
                    <w:jc w:val="center"/>
                    <w:rPr>
                      <w:rFonts w:cs="宋体"/>
                      <w:kern w:val="0"/>
                      <w:szCs w:val="21"/>
                    </w:rPr>
                  </w:pPr>
                  <w:r>
                    <w:rPr>
                      <w:rFonts w:hint="eastAsia" w:cs="宋体"/>
                      <w:kern w:val="0"/>
                      <w:szCs w:val="21"/>
                    </w:rPr>
                    <w:t>生活垃圾</w:t>
                  </w:r>
                </w:p>
              </w:tc>
            </w:tr>
          </w:tbl>
          <w:p>
            <w:pPr>
              <w:autoSpaceDE w:val="0"/>
              <w:autoSpaceDN w:val="0"/>
              <w:adjustRightInd w:val="0"/>
              <w:snapToGrid w:val="0"/>
              <w:spacing w:line="360" w:lineRule="auto"/>
              <w:ind w:firstLine="480" w:firstLineChars="200"/>
              <w:rPr>
                <w:bCs/>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04" w:hRule="atLeast"/>
          <w:jc w:val="center"/>
        </w:trPr>
        <w:tc>
          <w:tcPr>
            <w:tcW w:w="823" w:type="dxa"/>
            <w:vAlign w:val="center"/>
          </w:tcPr>
          <w:p>
            <w:pPr>
              <w:pStyle w:val="21"/>
              <w:adjustRightInd w:val="0"/>
              <w:snapToGrid w:val="0"/>
              <w:spacing w:before="0" w:beforeAutospacing="0" w:after="0" w:afterAutospacing="0"/>
              <w:jc w:val="center"/>
              <w:rPr>
                <w:rFonts w:ascii="Times New Roman" w:hAnsi="Times New Roman" w:cs="宋体"/>
                <w:szCs w:val="24"/>
              </w:rPr>
            </w:pPr>
            <w:r>
              <w:rPr>
                <w:rFonts w:hint="eastAsia" w:ascii="Times New Roman" w:hAnsi="Times New Roman" w:cs="宋体"/>
                <w:bCs/>
                <w:kern w:val="2"/>
                <w:szCs w:val="24"/>
              </w:rPr>
              <w:t>与项目有关的原有环境污染问题</w:t>
            </w:r>
          </w:p>
        </w:tc>
        <w:tc>
          <w:tcPr>
            <w:tcW w:w="8161" w:type="dxa"/>
            <w:vAlign w:val="center"/>
          </w:tcPr>
          <w:p>
            <w:pPr>
              <w:spacing w:line="360" w:lineRule="auto"/>
              <w:ind w:firstLine="480" w:firstLineChars="200"/>
              <w:rPr>
                <w:sz w:val="24"/>
              </w:rPr>
            </w:pPr>
            <w:r>
              <w:rPr>
                <w:rFonts w:hint="eastAsia"/>
                <w:sz w:val="24"/>
              </w:rPr>
              <w:t>本项目属于新建项目，不存在与项目有关的原有环境污染问题。</w:t>
            </w:r>
          </w:p>
          <w:p>
            <w:pPr>
              <w:spacing w:line="360" w:lineRule="auto"/>
              <w:ind w:firstLine="480" w:firstLineChars="200"/>
              <w:rPr>
                <w:sz w:val="24"/>
              </w:rPr>
            </w:pPr>
            <w:r>
              <w:rPr>
                <w:rFonts w:hint="eastAsia"/>
                <w:sz w:val="24"/>
              </w:rPr>
              <w:t>本项目</w:t>
            </w:r>
            <w:r>
              <w:rPr>
                <w:rFonts w:hint="eastAsia" w:cs="宋体"/>
                <w:kern w:val="0"/>
                <w:sz w:val="24"/>
              </w:rPr>
              <w:t>租用</w:t>
            </w:r>
            <w:bookmarkStart w:id="2" w:name="OLE_LINK3"/>
            <w:r>
              <w:rPr>
                <w:rFonts w:hint="eastAsia" w:cs="宋体"/>
                <w:kern w:val="0"/>
                <w:sz w:val="24"/>
              </w:rPr>
              <w:t>平顶山市银地源实业有限公司和</w:t>
            </w:r>
            <w:bookmarkEnd w:id="2"/>
            <w:r>
              <w:rPr>
                <w:rFonts w:hint="eastAsia" w:cs="宋体"/>
                <w:kern w:val="0"/>
                <w:sz w:val="24"/>
              </w:rPr>
              <w:t>平顶山市唐保耐火材料有限公司部分用地进行建设，</w:t>
            </w:r>
            <w:r>
              <w:rPr>
                <w:rFonts w:hint="eastAsia"/>
                <w:sz w:val="24"/>
              </w:rPr>
              <w:t>保留现有厂区内的建筑，现有厂区内厂房不能够满足本项目使用要求，在现有厂房南侧新建钢结构厂房，以满足本项目使用需求。</w:t>
            </w:r>
          </w:p>
        </w:tc>
      </w:tr>
    </w:tbl>
    <w:p>
      <w:pPr>
        <w:pStyle w:val="21"/>
        <w:adjustRightInd w:val="0"/>
        <w:snapToGrid w:val="0"/>
        <w:spacing w:before="0" w:beforeAutospacing="0" w:after="0" w:afterAutospacing="0" w:line="14" w:lineRule="auto"/>
        <w:jc w:val="center"/>
        <w:outlineLvl w:val="0"/>
        <w:rPr>
          <w:rFonts w:ascii="Times New Roman" w:hAnsi="Times New Roman"/>
          <w:snapToGrid w:val="0"/>
          <w:sz w:val="30"/>
          <w:szCs w:val="30"/>
        </w:rPr>
        <w:sectPr>
          <w:pgSz w:w="11907" w:h="16840"/>
          <w:pgMar w:top="1701" w:right="1531" w:bottom="2127" w:left="1531" w:header="851" w:footer="851" w:gutter="0"/>
          <w:cols w:space="720" w:num="1"/>
          <w:docGrid w:linePitch="312" w:charSpace="0"/>
        </w:sectPr>
      </w:pPr>
    </w:p>
    <w:p>
      <w:pPr>
        <w:pStyle w:val="21"/>
        <w:jc w:val="center"/>
        <w:outlineLvl w:val="0"/>
        <w:rPr>
          <w:rFonts w:ascii="Times New Roman" w:hAnsi="Times New Roman"/>
          <w:b/>
          <w:bCs/>
          <w:snapToGrid w:val="0"/>
          <w:sz w:val="30"/>
          <w:szCs w:val="30"/>
        </w:rPr>
      </w:pPr>
      <w:r>
        <w:rPr>
          <w:rFonts w:hint="eastAsia" w:ascii="Times New Roman" w:hAnsi="Times New Roman"/>
          <w:b/>
          <w:bCs/>
          <w:snapToGrid w:val="0"/>
          <w:sz w:val="30"/>
          <w:szCs w:val="30"/>
        </w:rPr>
        <w:t>三、区域环境质量现状、环境保护目标及评价标准</w:t>
      </w:r>
    </w:p>
    <w:tbl>
      <w:tblPr>
        <w:tblStyle w:val="26"/>
        <w:tblW w:w="899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906" w:hRule="atLeast"/>
          <w:jc w:val="center"/>
        </w:trPr>
        <w:tc>
          <w:tcPr>
            <w:tcW w:w="800" w:type="dxa"/>
            <w:vAlign w:val="center"/>
          </w:tcPr>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r>
              <w:rPr>
                <w:rFonts w:hint="eastAsia" w:cs="宋体"/>
                <w:kern w:val="0"/>
                <w:sz w:val="24"/>
              </w:rPr>
              <w:t>区域</w:t>
            </w:r>
          </w:p>
          <w:p>
            <w:pPr>
              <w:adjustRightInd w:val="0"/>
              <w:snapToGrid w:val="0"/>
              <w:jc w:val="center"/>
              <w:rPr>
                <w:rFonts w:cs="宋体"/>
                <w:kern w:val="0"/>
                <w:sz w:val="24"/>
              </w:rPr>
            </w:pPr>
            <w:r>
              <w:rPr>
                <w:rFonts w:hint="eastAsia" w:cs="宋体"/>
                <w:kern w:val="0"/>
                <w:sz w:val="24"/>
              </w:rPr>
              <w:t>环境</w:t>
            </w:r>
          </w:p>
          <w:p>
            <w:pPr>
              <w:adjustRightInd w:val="0"/>
              <w:snapToGrid w:val="0"/>
              <w:jc w:val="center"/>
              <w:rPr>
                <w:rFonts w:cs="宋体"/>
                <w:kern w:val="0"/>
                <w:sz w:val="24"/>
              </w:rPr>
            </w:pPr>
            <w:r>
              <w:rPr>
                <w:rFonts w:hint="eastAsia" w:cs="宋体"/>
                <w:kern w:val="0"/>
                <w:sz w:val="24"/>
              </w:rPr>
              <w:t>质量</w:t>
            </w:r>
          </w:p>
          <w:p>
            <w:pPr>
              <w:adjustRightInd w:val="0"/>
              <w:snapToGrid w:val="0"/>
              <w:jc w:val="center"/>
              <w:rPr>
                <w:rFonts w:cs="宋体"/>
                <w:kern w:val="0"/>
                <w:sz w:val="24"/>
              </w:rPr>
            </w:pPr>
            <w:r>
              <w:rPr>
                <w:rFonts w:hint="eastAsia" w:cs="宋体"/>
                <w:kern w:val="0"/>
                <w:sz w:val="24"/>
              </w:rPr>
              <w:t>现状</w:t>
            </w: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pStyle w:val="7"/>
              <w:ind w:firstLine="240"/>
              <w:rPr>
                <w:rFonts w:cs="宋体"/>
                <w:kern w:val="0"/>
                <w:sz w:val="24"/>
              </w:rPr>
            </w:pPr>
          </w:p>
          <w:p>
            <w:pPr>
              <w:pStyle w:val="7"/>
              <w:ind w:firstLine="240"/>
              <w:rPr>
                <w:rFonts w:cs="宋体"/>
                <w:kern w:val="0"/>
                <w:sz w:val="24"/>
              </w:rPr>
            </w:pPr>
          </w:p>
          <w:p>
            <w:pPr>
              <w:pStyle w:val="7"/>
              <w:ind w:firstLine="240"/>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r>
              <w:rPr>
                <w:rFonts w:hint="eastAsia" w:cs="宋体"/>
                <w:kern w:val="0"/>
                <w:sz w:val="24"/>
              </w:rPr>
              <w:t>区域</w:t>
            </w:r>
          </w:p>
          <w:p>
            <w:pPr>
              <w:adjustRightInd w:val="0"/>
              <w:snapToGrid w:val="0"/>
              <w:jc w:val="center"/>
              <w:rPr>
                <w:rFonts w:cs="宋体"/>
                <w:kern w:val="0"/>
                <w:sz w:val="24"/>
              </w:rPr>
            </w:pPr>
            <w:r>
              <w:rPr>
                <w:rFonts w:hint="eastAsia" w:cs="宋体"/>
                <w:kern w:val="0"/>
                <w:sz w:val="24"/>
              </w:rPr>
              <w:t>环境</w:t>
            </w:r>
          </w:p>
          <w:p>
            <w:pPr>
              <w:adjustRightInd w:val="0"/>
              <w:snapToGrid w:val="0"/>
              <w:jc w:val="center"/>
              <w:rPr>
                <w:rFonts w:cs="宋体"/>
                <w:kern w:val="0"/>
                <w:sz w:val="24"/>
              </w:rPr>
            </w:pPr>
            <w:r>
              <w:rPr>
                <w:rFonts w:hint="eastAsia" w:cs="宋体"/>
                <w:kern w:val="0"/>
                <w:sz w:val="24"/>
              </w:rPr>
              <w:t>质量</w:t>
            </w:r>
          </w:p>
          <w:p>
            <w:pPr>
              <w:adjustRightInd w:val="0"/>
              <w:snapToGrid w:val="0"/>
              <w:jc w:val="center"/>
              <w:rPr>
                <w:rFonts w:cs="宋体"/>
                <w:kern w:val="0"/>
                <w:sz w:val="24"/>
              </w:rPr>
            </w:pPr>
            <w:r>
              <w:rPr>
                <w:rFonts w:hint="eastAsia" w:cs="宋体"/>
                <w:kern w:val="0"/>
                <w:sz w:val="24"/>
              </w:rPr>
              <w:t>现状</w:t>
            </w: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pStyle w:val="7"/>
              <w:ind w:firstLine="240"/>
              <w:rPr>
                <w:rFonts w:cs="宋体"/>
                <w:kern w:val="0"/>
                <w:sz w:val="24"/>
              </w:rPr>
            </w:pPr>
          </w:p>
          <w:p>
            <w:pPr>
              <w:pStyle w:val="7"/>
              <w:ind w:firstLine="240"/>
              <w:rPr>
                <w:rFonts w:cs="宋体"/>
                <w:kern w:val="0"/>
                <w:sz w:val="24"/>
              </w:rPr>
            </w:pPr>
          </w:p>
          <w:p>
            <w:pPr>
              <w:pStyle w:val="7"/>
              <w:ind w:firstLine="240"/>
              <w:rPr>
                <w:rFonts w:cs="宋体"/>
                <w:kern w:val="0"/>
                <w:sz w:val="24"/>
              </w:rPr>
            </w:pPr>
          </w:p>
          <w:p>
            <w:pPr>
              <w:pStyle w:val="7"/>
              <w:ind w:firstLine="240"/>
              <w:rPr>
                <w:rFonts w:cs="宋体"/>
                <w:kern w:val="0"/>
                <w:sz w:val="24"/>
              </w:rPr>
            </w:pPr>
          </w:p>
          <w:p>
            <w:pPr>
              <w:pStyle w:val="7"/>
              <w:ind w:firstLine="240"/>
              <w:rPr>
                <w:rFonts w:cs="宋体"/>
                <w:kern w:val="0"/>
                <w:sz w:val="24"/>
              </w:rPr>
            </w:pPr>
          </w:p>
          <w:p>
            <w:pPr>
              <w:pStyle w:val="7"/>
              <w:ind w:firstLine="240"/>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tc>
        <w:tc>
          <w:tcPr>
            <w:tcW w:w="8190" w:type="dxa"/>
            <w:vAlign w:val="center"/>
          </w:tcPr>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1 环境空气质量现状</w:t>
            </w:r>
          </w:p>
          <w:p>
            <w:pPr>
              <w:autoSpaceDE w:val="0"/>
              <w:autoSpaceDN w:val="0"/>
              <w:adjustRightInd w:val="0"/>
              <w:snapToGrid w:val="0"/>
              <w:spacing w:line="360" w:lineRule="auto"/>
              <w:ind w:firstLine="480" w:firstLineChars="200"/>
              <w:rPr>
                <w:rFonts w:cs="宋体"/>
                <w:kern w:val="0"/>
                <w:sz w:val="24"/>
              </w:rPr>
            </w:pPr>
            <w:r>
              <w:rPr>
                <w:rFonts w:cs="宋体"/>
                <w:kern w:val="0"/>
                <w:sz w:val="24"/>
              </w:rPr>
              <w:t>根据环境空气质量功能区划分，项目所在地为二类功能区。环境空气质量执行《环境空气质量标准》（GB3095-2012）中规定的二级标准。</w:t>
            </w:r>
          </w:p>
          <w:p>
            <w:pPr>
              <w:autoSpaceDE w:val="0"/>
              <w:autoSpaceDN w:val="0"/>
              <w:adjustRightInd w:val="0"/>
              <w:snapToGrid w:val="0"/>
              <w:spacing w:line="360" w:lineRule="auto"/>
              <w:ind w:firstLine="480" w:firstLineChars="200"/>
              <w:rPr>
                <w:rFonts w:cs="宋体"/>
                <w:kern w:val="0"/>
                <w:sz w:val="24"/>
              </w:rPr>
            </w:pPr>
            <w:r>
              <w:rPr>
                <w:rFonts w:cs="宋体"/>
                <w:kern w:val="0"/>
                <w:sz w:val="24"/>
              </w:rPr>
              <w:t>本次环境空气质量现状引用河南省城市环境空气质量自动监控中</w:t>
            </w:r>
            <w:r>
              <w:rPr>
                <w:rFonts w:hint="eastAsia" w:cs="宋体"/>
                <w:kern w:val="0"/>
                <w:sz w:val="24"/>
                <w:lang w:val="en-US" w:eastAsia="zh-CN"/>
              </w:rPr>
              <w:t>心</w:t>
            </w:r>
            <w:r>
              <w:rPr>
                <w:rFonts w:cs="宋体"/>
                <w:kern w:val="0"/>
                <w:sz w:val="24"/>
              </w:rPr>
              <w:t>对鲁山县的监测数据</w:t>
            </w:r>
            <w:r>
              <w:rPr>
                <w:rFonts w:hint="eastAsia" w:cs="宋体"/>
                <w:kern w:val="0"/>
                <w:sz w:val="24"/>
                <w:lang w:eastAsia="zh-CN"/>
              </w:rPr>
              <w:t>（</w:t>
            </w:r>
            <w:r>
              <w:rPr>
                <w:rFonts w:hint="eastAsia" w:cs="宋体"/>
                <w:b/>
                <w:bCs/>
                <w:kern w:val="0"/>
                <w:sz w:val="24"/>
                <w:u w:val="single"/>
                <w:lang w:val="en-US" w:eastAsia="zh-CN"/>
              </w:rPr>
              <w:t>本项目距离鲁山县的距离为</w:t>
            </w:r>
            <w:r>
              <w:rPr>
                <w:rFonts w:hint="eastAsia" w:cs="宋体"/>
                <w:b/>
                <w:bCs/>
                <w:color w:val="auto"/>
                <w:kern w:val="0"/>
                <w:sz w:val="24"/>
                <w:u w:val="single"/>
                <w:lang w:val="en-US" w:eastAsia="zh-CN"/>
              </w:rPr>
              <w:t>4.5km</w:t>
            </w:r>
            <w:r>
              <w:rPr>
                <w:rFonts w:hint="eastAsia" w:cs="宋体"/>
                <w:kern w:val="0"/>
                <w:sz w:val="24"/>
                <w:lang w:eastAsia="zh-CN"/>
              </w:rPr>
              <w:t>）</w:t>
            </w:r>
            <w:r>
              <w:rPr>
                <w:rFonts w:cs="宋体"/>
                <w:kern w:val="0"/>
                <w:sz w:val="24"/>
              </w:rPr>
              <w:t>，监测时间为</w:t>
            </w:r>
            <w:r>
              <w:rPr>
                <w:rFonts w:hint="eastAsia" w:cs="宋体"/>
                <w:kern w:val="0"/>
                <w:sz w:val="24"/>
              </w:rPr>
              <w:t>2020</w:t>
            </w:r>
            <w:r>
              <w:rPr>
                <w:rFonts w:cs="宋体"/>
                <w:kern w:val="0"/>
                <w:sz w:val="24"/>
              </w:rPr>
              <w:t>年</w:t>
            </w:r>
            <w:r>
              <w:rPr>
                <w:rFonts w:hint="eastAsia" w:cs="宋体"/>
                <w:kern w:val="0"/>
                <w:sz w:val="24"/>
              </w:rPr>
              <w:t>01月~2020年12月</w:t>
            </w:r>
            <w:r>
              <w:rPr>
                <w:rFonts w:cs="宋体"/>
                <w:kern w:val="0"/>
                <w:sz w:val="24"/>
              </w:rPr>
              <w:t>，监测因子为SO</w:t>
            </w:r>
            <w:r>
              <w:rPr>
                <w:rFonts w:cs="宋体"/>
                <w:kern w:val="0"/>
                <w:sz w:val="24"/>
                <w:vertAlign w:val="subscript"/>
              </w:rPr>
              <w:t>2</w:t>
            </w:r>
            <w:r>
              <w:rPr>
                <w:rFonts w:cs="宋体"/>
                <w:kern w:val="0"/>
                <w:sz w:val="24"/>
              </w:rPr>
              <w:t>、NO</w:t>
            </w:r>
            <w:r>
              <w:rPr>
                <w:rFonts w:cs="宋体"/>
                <w:kern w:val="0"/>
                <w:sz w:val="24"/>
                <w:vertAlign w:val="subscript"/>
              </w:rPr>
              <w:t>2</w:t>
            </w:r>
            <w:r>
              <w:rPr>
                <w:rFonts w:cs="宋体"/>
                <w:kern w:val="0"/>
                <w:sz w:val="24"/>
              </w:rPr>
              <w:t>、PM</w:t>
            </w:r>
            <w:r>
              <w:rPr>
                <w:rFonts w:cs="宋体"/>
                <w:kern w:val="0"/>
                <w:sz w:val="24"/>
                <w:vertAlign w:val="subscript"/>
              </w:rPr>
              <w:t>10</w:t>
            </w:r>
            <w:r>
              <w:rPr>
                <w:rFonts w:cs="宋体"/>
                <w:kern w:val="0"/>
                <w:sz w:val="24"/>
              </w:rPr>
              <w:t>、PM</w:t>
            </w:r>
            <w:r>
              <w:rPr>
                <w:rFonts w:cs="宋体"/>
                <w:kern w:val="0"/>
                <w:sz w:val="24"/>
                <w:vertAlign w:val="subscript"/>
              </w:rPr>
              <w:t>2.5</w:t>
            </w:r>
            <w:r>
              <w:rPr>
                <w:rFonts w:cs="宋体"/>
                <w:kern w:val="0"/>
                <w:sz w:val="24"/>
              </w:rPr>
              <w:t>、CO、O</w:t>
            </w:r>
            <w:r>
              <w:rPr>
                <w:rFonts w:cs="宋体"/>
                <w:kern w:val="0"/>
                <w:sz w:val="24"/>
                <w:vertAlign w:val="subscript"/>
              </w:rPr>
              <w:t>3</w:t>
            </w:r>
            <w:r>
              <w:rPr>
                <w:rFonts w:cs="宋体"/>
                <w:kern w:val="0"/>
                <w:sz w:val="24"/>
              </w:rPr>
              <w:t>共6项，环境空气质量常规监测数据统计结果见下表。</w:t>
            </w:r>
          </w:p>
          <w:p>
            <w:pPr>
              <w:pStyle w:val="44"/>
              <w:spacing w:line="360" w:lineRule="auto"/>
              <w:rPr>
                <w:rFonts w:eastAsia="宋体"/>
                <w:sz w:val="24"/>
                <w:szCs w:val="24"/>
              </w:rPr>
            </w:pPr>
            <w:r>
              <w:rPr>
                <w:rFonts w:eastAsia="宋体"/>
                <w:sz w:val="24"/>
                <w:szCs w:val="24"/>
              </w:rPr>
              <w:t>表</w:t>
            </w:r>
            <w:r>
              <w:rPr>
                <w:rFonts w:hint="eastAsia" w:eastAsia="宋体"/>
                <w:sz w:val="24"/>
                <w:szCs w:val="24"/>
              </w:rPr>
              <w:t>3-1</w:t>
            </w:r>
            <w:r>
              <w:rPr>
                <w:rFonts w:eastAsia="宋体"/>
                <w:sz w:val="24"/>
                <w:szCs w:val="24"/>
              </w:rPr>
              <w:t xml:space="preserve">    环境空气质量常规监测数据</w:t>
            </w:r>
          </w:p>
          <w:tbl>
            <w:tblPr>
              <w:tblStyle w:val="26"/>
              <w:tblW w:w="79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9"/>
              <w:gridCol w:w="1119"/>
              <w:gridCol w:w="1881"/>
              <w:gridCol w:w="1315"/>
              <w:gridCol w:w="1339"/>
              <w:gridCol w:w="1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
                      <w:bCs/>
                      <w:color w:val="000000"/>
                      <w:sz w:val="21"/>
                      <w:szCs w:val="21"/>
                    </w:rPr>
                  </w:pPr>
                  <w:r>
                    <w:rPr>
                      <w:b/>
                      <w:bCs/>
                      <w:color w:val="000000"/>
                      <w:sz w:val="21"/>
                      <w:szCs w:val="21"/>
                    </w:rPr>
                    <w:t>监测点位</w:t>
                  </w: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
                      <w:bCs/>
                      <w:color w:val="000000"/>
                      <w:sz w:val="21"/>
                      <w:szCs w:val="21"/>
                    </w:rPr>
                  </w:pPr>
                  <w:r>
                    <w:rPr>
                      <w:b/>
                      <w:bCs/>
                      <w:color w:val="000000"/>
                      <w:sz w:val="21"/>
                      <w:szCs w:val="21"/>
                    </w:rPr>
                    <w:t>监测因子</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
                      <w:bCs/>
                      <w:color w:val="000000"/>
                      <w:sz w:val="21"/>
                      <w:szCs w:val="21"/>
                    </w:rPr>
                  </w:pPr>
                  <w:r>
                    <w:rPr>
                      <w:rFonts w:hint="eastAsia"/>
                      <w:b/>
                      <w:bCs/>
                      <w:color w:val="000000"/>
                      <w:sz w:val="21"/>
                      <w:szCs w:val="21"/>
                    </w:rPr>
                    <w:t>评价指标</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
                      <w:bCs/>
                      <w:color w:val="000000"/>
                      <w:sz w:val="21"/>
                      <w:szCs w:val="21"/>
                    </w:rPr>
                  </w:pPr>
                  <w:r>
                    <w:rPr>
                      <w:b/>
                      <w:bCs/>
                      <w:color w:val="000000"/>
                      <w:sz w:val="21"/>
                      <w:szCs w:val="21"/>
                    </w:rPr>
                    <w:t>监测结果</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
                      <w:bCs/>
                      <w:color w:val="000000"/>
                      <w:sz w:val="21"/>
                      <w:szCs w:val="21"/>
                    </w:rPr>
                  </w:pPr>
                  <w:r>
                    <w:rPr>
                      <w:b/>
                      <w:bCs/>
                      <w:color w:val="000000"/>
                      <w:sz w:val="21"/>
                      <w:szCs w:val="21"/>
                    </w:rPr>
                    <w:t>标准限值</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
                      <w:bCs/>
                      <w:color w:val="000000"/>
                      <w:sz w:val="21"/>
                      <w:szCs w:val="21"/>
                    </w:rPr>
                  </w:pPr>
                  <w:r>
                    <w:rPr>
                      <w:b/>
                      <w:bCs/>
                      <w:color w:val="000000"/>
                      <w:sz w:val="21"/>
                      <w:szCs w:val="21"/>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vMerge w:val="restart"/>
                  <w:tcBorders>
                    <w:top w:val="nil"/>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鲁山县</w:t>
                  </w: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SO</w:t>
                  </w:r>
                  <w:r>
                    <w:rPr>
                      <w:bCs/>
                      <w:color w:val="000000"/>
                      <w:sz w:val="21"/>
                      <w:szCs w:val="21"/>
                      <w:vertAlign w:val="subscript"/>
                    </w:rPr>
                    <w:t>2</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年平均</w:t>
                  </w:r>
                  <w:r>
                    <w:rPr>
                      <w:rFonts w:hint="eastAsia"/>
                      <w:bCs/>
                      <w:color w:val="000000"/>
                      <w:sz w:val="21"/>
                      <w:szCs w:val="21"/>
                    </w:rPr>
                    <w:t>质量浓度</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10</w:t>
                  </w:r>
                  <w:r>
                    <w:rPr>
                      <w:bCs/>
                      <w:color w:val="000000"/>
                      <w:sz w:val="21"/>
                      <w:szCs w:val="21"/>
                    </w:rPr>
                    <w:t>ug/m</w:t>
                  </w:r>
                  <w:r>
                    <w:rPr>
                      <w:bCs/>
                      <w:color w:val="000000"/>
                      <w:sz w:val="21"/>
                      <w:szCs w:val="21"/>
                      <w:vertAlign w:val="superscript"/>
                    </w:rPr>
                    <w:t>3</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60ug/m</w:t>
                  </w:r>
                  <w:r>
                    <w:rPr>
                      <w:bCs/>
                      <w:color w:val="000000"/>
                      <w:sz w:val="21"/>
                      <w:szCs w:val="21"/>
                      <w:vertAlign w:val="superscript"/>
                    </w:rPr>
                    <w:t>3</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NO</w:t>
                  </w:r>
                  <w:r>
                    <w:rPr>
                      <w:bCs/>
                      <w:color w:val="000000"/>
                      <w:sz w:val="21"/>
                      <w:szCs w:val="21"/>
                      <w:vertAlign w:val="subscript"/>
                    </w:rPr>
                    <w:t>2</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年平均</w:t>
                  </w:r>
                  <w:r>
                    <w:rPr>
                      <w:rFonts w:hint="eastAsia"/>
                      <w:bCs/>
                      <w:color w:val="000000"/>
                      <w:sz w:val="21"/>
                      <w:szCs w:val="21"/>
                    </w:rPr>
                    <w:t>质量浓度</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24</w:t>
                  </w:r>
                  <w:r>
                    <w:rPr>
                      <w:bCs/>
                      <w:color w:val="000000"/>
                      <w:sz w:val="21"/>
                      <w:szCs w:val="21"/>
                    </w:rPr>
                    <w:t>ug/m</w:t>
                  </w:r>
                  <w:r>
                    <w:rPr>
                      <w:bCs/>
                      <w:color w:val="000000"/>
                      <w:sz w:val="21"/>
                      <w:szCs w:val="21"/>
                      <w:vertAlign w:val="superscript"/>
                    </w:rPr>
                    <w:t>3</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40ug/m</w:t>
                  </w:r>
                  <w:r>
                    <w:rPr>
                      <w:bCs/>
                      <w:color w:val="000000"/>
                      <w:sz w:val="21"/>
                      <w:szCs w:val="21"/>
                      <w:vertAlign w:val="superscript"/>
                    </w:rPr>
                    <w:t>3</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PM</w:t>
                  </w:r>
                  <w:r>
                    <w:rPr>
                      <w:bCs/>
                      <w:color w:val="000000"/>
                      <w:sz w:val="21"/>
                      <w:szCs w:val="21"/>
                      <w:vertAlign w:val="subscript"/>
                    </w:rPr>
                    <w:t>10</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年平均</w:t>
                  </w:r>
                  <w:r>
                    <w:rPr>
                      <w:rFonts w:hint="eastAsia"/>
                      <w:bCs/>
                      <w:color w:val="000000"/>
                      <w:sz w:val="21"/>
                      <w:szCs w:val="21"/>
                    </w:rPr>
                    <w:t>质量浓度</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89</w:t>
                  </w:r>
                  <w:r>
                    <w:rPr>
                      <w:bCs/>
                      <w:color w:val="000000"/>
                      <w:sz w:val="21"/>
                      <w:szCs w:val="21"/>
                    </w:rPr>
                    <w:t>ug/m</w:t>
                  </w:r>
                  <w:r>
                    <w:rPr>
                      <w:bCs/>
                      <w:color w:val="000000"/>
                      <w:sz w:val="21"/>
                      <w:szCs w:val="21"/>
                      <w:vertAlign w:val="superscript"/>
                    </w:rPr>
                    <w:t>3</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70ug/m</w:t>
                  </w:r>
                  <w:r>
                    <w:rPr>
                      <w:bCs/>
                      <w:color w:val="000000"/>
                      <w:sz w:val="21"/>
                      <w:szCs w:val="21"/>
                      <w:vertAlign w:val="superscript"/>
                    </w:rPr>
                    <w:t>3</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PM</w:t>
                  </w:r>
                  <w:r>
                    <w:rPr>
                      <w:bCs/>
                      <w:color w:val="000000"/>
                      <w:sz w:val="21"/>
                      <w:szCs w:val="21"/>
                      <w:vertAlign w:val="subscript"/>
                    </w:rPr>
                    <w:t>2.5</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年平均</w:t>
                  </w:r>
                  <w:r>
                    <w:rPr>
                      <w:rFonts w:hint="eastAsia"/>
                      <w:bCs/>
                      <w:color w:val="000000"/>
                      <w:sz w:val="21"/>
                      <w:szCs w:val="21"/>
                    </w:rPr>
                    <w:t>质量浓度</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41</w:t>
                  </w:r>
                  <w:r>
                    <w:rPr>
                      <w:bCs/>
                      <w:color w:val="000000"/>
                      <w:sz w:val="21"/>
                      <w:szCs w:val="21"/>
                    </w:rPr>
                    <w:t>ug/m</w:t>
                  </w:r>
                  <w:r>
                    <w:rPr>
                      <w:bCs/>
                      <w:color w:val="000000"/>
                      <w:sz w:val="21"/>
                      <w:szCs w:val="21"/>
                      <w:vertAlign w:val="superscript"/>
                    </w:rPr>
                    <w:t>3</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35ug/m</w:t>
                  </w:r>
                  <w:r>
                    <w:rPr>
                      <w:bCs/>
                      <w:color w:val="000000"/>
                      <w:sz w:val="21"/>
                      <w:szCs w:val="21"/>
                      <w:vertAlign w:val="superscript"/>
                    </w:rPr>
                    <w:t>3</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O</w:t>
                  </w:r>
                  <w:r>
                    <w:rPr>
                      <w:bCs/>
                      <w:color w:val="000000"/>
                      <w:sz w:val="21"/>
                      <w:szCs w:val="21"/>
                      <w:vertAlign w:val="subscript"/>
                    </w:rPr>
                    <w:t>3</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第90百分位数8h平均质量浓度</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147</w:t>
                  </w:r>
                  <w:r>
                    <w:rPr>
                      <w:bCs/>
                      <w:color w:val="000000"/>
                      <w:sz w:val="21"/>
                      <w:szCs w:val="21"/>
                    </w:rPr>
                    <w:t>ug/m</w:t>
                  </w:r>
                  <w:r>
                    <w:rPr>
                      <w:bCs/>
                      <w:color w:val="000000"/>
                      <w:sz w:val="21"/>
                      <w:szCs w:val="21"/>
                      <w:vertAlign w:val="superscript"/>
                    </w:rPr>
                    <w:t>3</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160ug/m</w:t>
                  </w:r>
                  <w:r>
                    <w:rPr>
                      <w:bCs/>
                      <w:color w:val="000000"/>
                      <w:sz w:val="21"/>
                      <w:szCs w:val="21"/>
                      <w:vertAlign w:val="superscript"/>
                    </w:rPr>
                    <w:t>3</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达</w:t>
                  </w:r>
                  <w:r>
                    <w:rPr>
                      <w:bCs/>
                      <w:color w:val="000000"/>
                      <w:sz w:val="21"/>
                      <w:szCs w:val="21"/>
                    </w:rPr>
                    <w:t>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109" w:type="dxa"/>
                  <w:vMerge w:val="continue"/>
                  <w:tcBorders>
                    <w:top w:val="nil"/>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p>
              </w:tc>
              <w:tc>
                <w:tcPr>
                  <w:tcW w:w="111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CO</w:t>
                  </w:r>
                </w:p>
              </w:tc>
              <w:tc>
                <w:tcPr>
                  <w:tcW w:w="1881" w:type="dxa"/>
                  <w:tcBorders>
                    <w:top w:val="single" w:color="auto" w:sz="4" w:space="0"/>
                    <w:left w:val="single" w:color="auto" w:sz="4" w:space="0"/>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第95百分位数日平均质量浓度</w:t>
                  </w:r>
                </w:p>
              </w:tc>
              <w:tc>
                <w:tcPr>
                  <w:tcW w:w="1315"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rFonts w:hint="eastAsia"/>
                      <w:bCs/>
                      <w:color w:val="000000"/>
                      <w:sz w:val="21"/>
                      <w:szCs w:val="21"/>
                    </w:rPr>
                    <w:t>1.4</w:t>
                  </w:r>
                  <w:r>
                    <w:rPr>
                      <w:bCs/>
                      <w:color w:val="000000"/>
                      <w:sz w:val="21"/>
                      <w:szCs w:val="21"/>
                    </w:rPr>
                    <w:t>mg/m</w:t>
                  </w:r>
                  <w:r>
                    <w:rPr>
                      <w:bCs/>
                      <w:color w:val="000000"/>
                      <w:sz w:val="21"/>
                      <w:szCs w:val="21"/>
                      <w:vertAlign w:val="superscript"/>
                    </w:rPr>
                    <w:t>3</w:t>
                  </w:r>
                </w:p>
              </w:tc>
              <w:tc>
                <w:tcPr>
                  <w:tcW w:w="1339"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4mg/m</w:t>
                  </w:r>
                  <w:r>
                    <w:rPr>
                      <w:bCs/>
                      <w:color w:val="000000"/>
                      <w:sz w:val="21"/>
                      <w:szCs w:val="21"/>
                      <w:vertAlign w:val="superscript"/>
                    </w:rPr>
                    <w:t>3</w:t>
                  </w:r>
                </w:p>
              </w:tc>
              <w:tc>
                <w:tcPr>
                  <w:tcW w:w="1201" w:type="dxa"/>
                  <w:tcBorders>
                    <w:top w:val="single" w:color="auto" w:sz="4" w:space="0"/>
                    <w:left w:val="nil"/>
                    <w:bottom w:val="single" w:color="auto" w:sz="4" w:space="0"/>
                    <w:right w:val="single" w:color="auto" w:sz="4" w:space="0"/>
                  </w:tcBorders>
                  <w:vAlign w:val="center"/>
                </w:tcPr>
                <w:p>
                  <w:pPr>
                    <w:pStyle w:val="14"/>
                    <w:spacing w:before="0" w:line="240" w:lineRule="auto"/>
                    <w:ind w:left="0" w:right="0"/>
                    <w:jc w:val="center"/>
                    <w:rPr>
                      <w:bCs/>
                      <w:color w:val="000000"/>
                      <w:sz w:val="21"/>
                      <w:szCs w:val="21"/>
                    </w:rPr>
                  </w:pPr>
                  <w:r>
                    <w:rPr>
                      <w:bCs/>
                      <w:color w:val="000000"/>
                      <w:sz w:val="21"/>
                      <w:szCs w:val="21"/>
                    </w:rPr>
                    <w:t>达标</w:t>
                  </w:r>
                </w:p>
              </w:tc>
            </w:tr>
          </w:tbl>
          <w:p>
            <w:pPr>
              <w:autoSpaceDE w:val="0"/>
              <w:autoSpaceDN w:val="0"/>
              <w:adjustRightInd w:val="0"/>
              <w:snapToGrid w:val="0"/>
              <w:spacing w:line="360" w:lineRule="auto"/>
              <w:ind w:firstLine="480" w:firstLineChars="200"/>
              <w:rPr>
                <w:rFonts w:cs="宋体"/>
                <w:kern w:val="0"/>
                <w:sz w:val="24"/>
              </w:rPr>
            </w:pPr>
            <w:r>
              <w:rPr>
                <w:rFonts w:cs="宋体"/>
                <w:kern w:val="0"/>
                <w:sz w:val="24"/>
              </w:rPr>
              <w:t>由监测结果可知，调查周期内项目所在区域PM</w:t>
            </w:r>
            <w:r>
              <w:rPr>
                <w:rFonts w:cs="宋体"/>
                <w:kern w:val="0"/>
                <w:sz w:val="24"/>
                <w:vertAlign w:val="subscript"/>
              </w:rPr>
              <w:t>2.5</w:t>
            </w:r>
            <w:r>
              <w:rPr>
                <w:rFonts w:cs="宋体"/>
                <w:kern w:val="0"/>
                <w:sz w:val="24"/>
              </w:rPr>
              <w:t>年均浓度、PM</w:t>
            </w:r>
            <w:r>
              <w:rPr>
                <w:rFonts w:cs="宋体"/>
                <w:kern w:val="0"/>
                <w:sz w:val="24"/>
                <w:vertAlign w:val="subscript"/>
              </w:rPr>
              <w:t>10</w:t>
            </w:r>
            <w:r>
              <w:rPr>
                <w:rFonts w:cs="宋体"/>
                <w:kern w:val="0"/>
                <w:sz w:val="24"/>
              </w:rPr>
              <w:t>年均浓度未满足《环境空气质量标准》（GB3095-2012）中的二级标准限值，属于非达标区域。</w:t>
            </w:r>
          </w:p>
          <w:p>
            <w:pPr>
              <w:autoSpaceDE w:val="0"/>
              <w:autoSpaceDN w:val="0"/>
              <w:adjustRightInd w:val="0"/>
              <w:snapToGrid w:val="0"/>
              <w:spacing w:line="360" w:lineRule="auto"/>
              <w:ind w:firstLine="480" w:firstLineChars="200"/>
              <w:rPr>
                <w:rFonts w:cs="宋体"/>
                <w:kern w:val="0"/>
                <w:sz w:val="24"/>
              </w:rPr>
            </w:pPr>
            <w:r>
              <w:rPr>
                <w:rFonts w:cs="宋体"/>
                <w:kern w:val="0"/>
                <w:sz w:val="24"/>
              </w:rPr>
              <w:t>随着</w:t>
            </w:r>
            <w:r>
              <w:rPr>
                <w:rFonts w:hint="eastAsia" w:cs="宋体"/>
                <w:kern w:val="0"/>
                <w:sz w:val="24"/>
              </w:rPr>
              <w:t>《河南省2021年大气污染防治攻坚战实施方案》的实施</w:t>
            </w:r>
            <w:r>
              <w:rPr>
                <w:rFonts w:cs="宋体"/>
                <w:kern w:val="0"/>
                <w:sz w:val="24"/>
              </w:rPr>
              <w:t>，通过严控煤炭消费总量</w:t>
            </w:r>
            <w:r>
              <w:rPr>
                <w:rFonts w:hint="eastAsia" w:cs="宋体"/>
                <w:kern w:val="0"/>
                <w:sz w:val="24"/>
              </w:rPr>
              <w:t>、</w:t>
            </w:r>
            <w:r>
              <w:rPr>
                <w:rFonts w:cs="宋体"/>
                <w:kern w:val="0"/>
                <w:sz w:val="24"/>
              </w:rPr>
              <w:t>持续推进清洁取暖</w:t>
            </w:r>
            <w:r>
              <w:rPr>
                <w:rFonts w:hint="eastAsia" w:cs="宋体"/>
                <w:kern w:val="0"/>
                <w:sz w:val="24"/>
              </w:rPr>
              <w:t>、</w:t>
            </w:r>
            <w:r>
              <w:rPr>
                <w:rFonts w:cs="宋体"/>
                <w:kern w:val="0"/>
                <w:sz w:val="24"/>
              </w:rPr>
              <w:t>提高建成区集中供暖普及率</w:t>
            </w:r>
            <w:r>
              <w:rPr>
                <w:rFonts w:hint="eastAsia" w:cs="宋体"/>
                <w:kern w:val="0"/>
                <w:sz w:val="24"/>
              </w:rPr>
              <w:t>、</w:t>
            </w:r>
            <w:r>
              <w:rPr>
                <w:rFonts w:cs="宋体"/>
                <w:kern w:val="0"/>
                <w:sz w:val="24"/>
              </w:rPr>
              <w:t>加强天然气和电力供应保障</w:t>
            </w:r>
            <w:r>
              <w:rPr>
                <w:rFonts w:hint="eastAsia" w:cs="宋体"/>
                <w:kern w:val="0"/>
                <w:sz w:val="24"/>
              </w:rPr>
              <w:t>、</w:t>
            </w:r>
            <w:r>
              <w:rPr>
                <w:rFonts w:cs="宋体"/>
                <w:kern w:val="0"/>
                <w:sz w:val="24"/>
              </w:rPr>
              <w:t>强化新生产车辆达标排放监管</w:t>
            </w:r>
            <w:r>
              <w:rPr>
                <w:rFonts w:hint="eastAsia" w:cs="宋体"/>
                <w:kern w:val="0"/>
                <w:sz w:val="24"/>
              </w:rPr>
              <w:t>、</w:t>
            </w:r>
            <w:r>
              <w:rPr>
                <w:rFonts w:cs="宋体"/>
                <w:kern w:val="0"/>
                <w:sz w:val="24"/>
              </w:rPr>
              <w:t>加强扬尘综合治理</w:t>
            </w:r>
            <w:r>
              <w:rPr>
                <w:rFonts w:hint="eastAsia" w:cs="宋体"/>
                <w:kern w:val="0"/>
                <w:sz w:val="24"/>
              </w:rPr>
              <w:t>、</w:t>
            </w:r>
            <w:r>
              <w:rPr>
                <w:rFonts w:cs="宋体"/>
                <w:kern w:val="0"/>
                <w:sz w:val="24"/>
              </w:rPr>
              <w:t>深化矿山综合整治行动</w:t>
            </w:r>
            <w:r>
              <w:rPr>
                <w:rFonts w:hint="eastAsia" w:cs="宋体"/>
                <w:kern w:val="0"/>
                <w:sz w:val="24"/>
              </w:rPr>
              <w:t>、</w:t>
            </w:r>
            <w:r>
              <w:rPr>
                <w:rFonts w:cs="宋体"/>
                <w:kern w:val="0"/>
                <w:sz w:val="24"/>
              </w:rPr>
              <w:t>推进重点行业绩效分级管理</w:t>
            </w:r>
            <w:r>
              <w:rPr>
                <w:rFonts w:hint="eastAsia" w:cs="宋体"/>
                <w:kern w:val="0"/>
                <w:sz w:val="24"/>
              </w:rPr>
              <w:t>、</w:t>
            </w:r>
            <w:r>
              <w:rPr>
                <w:rFonts w:cs="宋体"/>
                <w:kern w:val="0"/>
                <w:sz w:val="24"/>
              </w:rPr>
              <w:t>开展工业企业全面达标行动</w:t>
            </w:r>
            <w:r>
              <w:rPr>
                <w:rFonts w:hint="eastAsia" w:cs="宋体"/>
                <w:kern w:val="0"/>
                <w:sz w:val="24"/>
              </w:rPr>
              <w:t>、</w:t>
            </w:r>
            <w:r>
              <w:rPr>
                <w:rFonts w:cs="宋体"/>
                <w:kern w:val="0"/>
                <w:sz w:val="24"/>
              </w:rPr>
              <w:t>强化重点行业超低排放改造</w:t>
            </w:r>
            <w:r>
              <w:rPr>
                <w:rFonts w:hint="eastAsia" w:cs="宋体"/>
                <w:kern w:val="0"/>
                <w:sz w:val="24"/>
              </w:rPr>
              <w:t>、</w:t>
            </w:r>
            <w:r>
              <w:rPr>
                <w:rFonts w:cs="宋体"/>
                <w:kern w:val="0"/>
                <w:sz w:val="24"/>
              </w:rPr>
              <w:t>深化工业炉窑大气污染综合治理</w:t>
            </w:r>
            <w:r>
              <w:rPr>
                <w:rFonts w:hint="eastAsia" w:cs="宋体"/>
                <w:kern w:val="0"/>
                <w:sz w:val="24"/>
              </w:rPr>
              <w:t>、</w:t>
            </w:r>
            <w:r>
              <w:rPr>
                <w:rFonts w:cs="宋体"/>
                <w:kern w:val="0"/>
                <w:sz w:val="24"/>
              </w:rPr>
              <w:t>推进火电行业污染物总量减排</w:t>
            </w:r>
            <w:r>
              <w:rPr>
                <w:rFonts w:hint="eastAsia" w:cs="宋体"/>
                <w:kern w:val="0"/>
                <w:sz w:val="24"/>
              </w:rPr>
              <w:t>、</w:t>
            </w:r>
            <w:r>
              <w:rPr>
                <w:rFonts w:cs="宋体"/>
                <w:kern w:val="0"/>
                <w:sz w:val="24"/>
              </w:rPr>
              <w:t>加强生活垃圾焚烧行业污染治理</w:t>
            </w:r>
            <w:r>
              <w:rPr>
                <w:rFonts w:hint="eastAsia" w:cs="宋体"/>
                <w:kern w:val="0"/>
                <w:sz w:val="24"/>
              </w:rPr>
              <w:t>、</w:t>
            </w:r>
            <w:r>
              <w:rPr>
                <w:rFonts w:cs="宋体"/>
                <w:kern w:val="0"/>
                <w:sz w:val="24"/>
              </w:rPr>
              <w:t>强化重点涉气行业清洁生产审核</w:t>
            </w:r>
            <w:r>
              <w:rPr>
                <w:rFonts w:hint="eastAsia" w:cs="宋体"/>
                <w:kern w:val="0"/>
                <w:sz w:val="24"/>
              </w:rPr>
              <w:t>、</w:t>
            </w:r>
            <w:r>
              <w:rPr>
                <w:rFonts w:cs="宋体"/>
                <w:kern w:val="0"/>
                <w:sz w:val="24"/>
              </w:rPr>
              <w:t>大力推进源头替代</w:t>
            </w:r>
            <w:r>
              <w:rPr>
                <w:rFonts w:hint="eastAsia" w:cs="宋体"/>
                <w:kern w:val="0"/>
                <w:sz w:val="24"/>
              </w:rPr>
              <w:t>、</w:t>
            </w:r>
            <w:r>
              <w:rPr>
                <w:rFonts w:cs="宋体"/>
                <w:kern w:val="0"/>
                <w:sz w:val="24"/>
              </w:rPr>
              <w:t>加强工业企业VOCs全过程运行管理等措施，改善当地环境质量，使空气质量将逐渐转好。</w:t>
            </w:r>
          </w:p>
          <w:p>
            <w:pPr>
              <w:autoSpaceDE w:val="0"/>
              <w:autoSpaceDN w:val="0"/>
              <w:adjustRightInd w:val="0"/>
              <w:snapToGrid w:val="0"/>
              <w:spacing w:line="360" w:lineRule="auto"/>
              <w:ind w:firstLine="482" w:firstLineChars="200"/>
              <w:rPr>
                <w:rFonts w:cs="宋体"/>
                <w:b/>
                <w:bCs/>
                <w:color w:val="auto"/>
                <w:kern w:val="0"/>
                <w:sz w:val="24"/>
              </w:rPr>
            </w:pPr>
            <w:r>
              <w:rPr>
                <w:rFonts w:hint="eastAsia" w:cs="宋体"/>
                <w:b/>
                <w:bCs/>
                <w:color w:val="auto"/>
                <w:kern w:val="0"/>
                <w:sz w:val="24"/>
              </w:rPr>
              <w:t>2 地表水环境质量现状</w:t>
            </w:r>
          </w:p>
          <w:p>
            <w:pPr>
              <w:autoSpaceDE w:val="0"/>
              <w:autoSpaceDN w:val="0"/>
              <w:adjustRightInd w:val="0"/>
              <w:snapToGrid w:val="0"/>
              <w:spacing w:line="360" w:lineRule="auto"/>
              <w:ind w:firstLine="480" w:firstLineChars="200"/>
              <w:rPr>
                <w:rFonts w:hint="eastAsia" w:cs="宋体"/>
                <w:color w:val="auto"/>
                <w:kern w:val="0"/>
                <w:sz w:val="24"/>
                <w:lang w:val="en-US" w:eastAsia="zh-CN"/>
              </w:rPr>
            </w:pPr>
            <w:r>
              <w:rPr>
                <w:rFonts w:hint="eastAsia" w:cs="宋体"/>
                <w:color w:val="auto"/>
                <w:kern w:val="0"/>
                <w:sz w:val="24"/>
              </w:rPr>
              <w:t>项目所在区域地表水体为大浪河，位于项目厂址西南755m处</w:t>
            </w:r>
            <w:r>
              <w:rPr>
                <w:rFonts w:hint="eastAsia" w:cs="宋体"/>
                <w:color w:val="auto"/>
                <w:kern w:val="0"/>
                <w:sz w:val="24"/>
                <w:lang w:eastAsia="zh-CN"/>
              </w:rPr>
              <w:t>。</w:t>
            </w:r>
            <w:r>
              <w:rPr>
                <w:rFonts w:hint="eastAsia" w:cs="宋体"/>
                <w:color w:val="auto"/>
                <w:kern w:val="0"/>
                <w:sz w:val="24"/>
                <w:lang w:val="en-US" w:eastAsia="zh-CN"/>
              </w:rPr>
              <w:t>根据2020年1-7月平顶山市水环境污染物现状调查及承载能力调查，大浪河河流特征值见下表。</w:t>
            </w:r>
          </w:p>
          <w:p>
            <w:pPr>
              <w:pStyle w:val="44"/>
              <w:spacing w:line="360" w:lineRule="auto"/>
              <w:rPr>
                <w:rFonts w:eastAsia="宋体"/>
                <w:sz w:val="24"/>
                <w:szCs w:val="24"/>
              </w:rPr>
            </w:pPr>
            <w:r>
              <w:rPr>
                <w:rFonts w:hint="eastAsia" w:eastAsia="宋体"/>
                <w:sz w:val="24"/>
                <w:szCs w:val="24"/>
              </w:rPr>
              <w:t xml:space="preserve">表3-2    </w:t>
            </w:r>
            <w:r>
              <w:rPr>
                <w:rFonts w:hint="eastAsia" w:eastAsia="宋体"/>
                <w:sz w:val="24"/>
                <w:szCs w:val="24"/>
                <w:lang w:val="en-US" w:eastAsia="zh-CN"/>
              </w:rPr>
              <w:t>大浪河河流特征值表</w:t>
            </w:r>
          </w:p>
          <w:tbl>
            <w:tblPr>
              <w:tblStyle w:val="26"/>
              <w:tblW w:w="7960" w:type="dxa"/>
              <w:tblInd w:w="0" w:type="dxa"/>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108" w:type="dxa"/>
                <w:bottom w:w="0" w:type="dxa"/>
                <w:right w:w="108" w:type="dxa"/>
              </w:tblCellMar>
            </w:tblPr>
            <w:tblGrid>
              <w:gridCol w:w="1330"/>
              <w:gridCol w:w="1804"/>
              <w:gridCol w:w="1608"/>
              <w:gridCol w:w="1609"/>
              <w:gridCol w:w="1609"/>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108" w:type="dxa"/>
                  <w:bottom w:w="0" w:type="dxa"/>
                  <w:right w:w="108" w:type="dxa"/>
                </w:tblCellMar>
              </w:tblPrEx>
              <w:trPr>
                <w:trHeight w:val="343" w:hRule="atLeast"/>
              </w:trPr>
              <w:tc>
                <w:tcPr>
                  <w:tcW w:w="1330" w:type="dxa"/>
                  <w:vAlign w:val="center"/>
                </w:tcPr>
                <w:p>
                  <w:pPr>
                    <w:jc w:val="center"/>
                    <w:rPr>
                      <w:rFonts w:hint="eastAsia" w:eastAsia="宋体"/>
                      <w:b/>
                      <w:bCs/>
                      <w:szCs w:val="21"/>
                      <w:lang w:val="en-US" w:eastAsia="zh-CN"/>
                    </w:rPr>
                  </w:pPr>
                  <w:r>
                    <w:rPr>
                      <w:rFonts w:hint="eastAsia"/>
                      <w:b/>
                      <w:bCs/>
                      <w:szCs w:val="21"/>
                      <w:lang w:val="en-US" w:eastAsia="zh-CN"/>
                    </w:rPr>
                    <w:t>河流名称</w:t>
                  </w:r>
                </w:p>
              </w:tc>
              <w:tc>
                <w:tcPr>
                  <w:tcW w:w="1804" w:type="dxa"/>
                  <w:vAlign w:val="center"/>
                </w:tcPr>
                <w:p>
                  <w:pPr>
                    <w:jc w:val="center"/>
                    <w:rPr>
                      <w:b/>
                      <w:bCs/>
                      <w:szCs w:val="21"/>
                    </w:rPr>
                  </w:pPr>
                  <w:r>
                    <w:rPr>
                      <w:b/>
                      <w:bCs/>
                      <w:szCs w:val="21"/>
                    </w:rPr>
                    <w:t>项目</w:t>
                  </w:r>
                </w:p>
              </w:tc>
              <w:tc>
                <w:tcPr>
                  <w:tcW w:w="1608" w:type="dxa"/>
                  <w:vAlign w:val="center"/>
                </w:tcPr>
                <w:p>
                  <w:pPr>
                    <w:jc w:val="center"/>
                    <w:rPr>
                      <w:rFonts w:hint="eastAsia" w:eastAsia="宋体"/>
                      <w:b/>
                      <w:bCs/>
                      <w:szCs w:val="21"/>
                      <w:lang w:val="en-US" w:eastAsia="zh-CN"/>
                    </w:rPr>
                  </w:pPr>
                  <w:r>
                    <w:rPr>
                      <w:b/>
                      <w:bCs/>
                      <w:szCs w:val="21"/>
                    </w:rPr>
                    <w:t>COD</w:t>
                  </w:r>
                  <w:r>
                    <w:rPr>
                      <w:rFonts w:hint="eastAsia"/>
                      <w:b/>
                      <w:bCs/>
                      <w:szCs w:val="21"/>
                      <w:lang w:val="en-US" w:eastAsia="zh-CN"/>
                    </w:rPr>
                    <w:t>cr</w:t>
                  </w:r>
                </w:p>
              </w:tc>
              <w:tc>
                <w:tcPr>
                  <w:tcW w:w="1609" w:type="dxa"/>
                  <w:vAlign w:val="center"/>
                </w:tcPr>
                <w:p>
                  <w:pPr>
                    <w:jc w:val="center"/>
                    <w:rPr>
                      <w:b/>
                      <w:bCs/>
                      <w:szCs w:val="21"/>
                    </w:rPr>
                  </w:pPr>
                  <w:r>
                    <w:rPr>
                      <w:b/>
                      <w:bCs/>
                      <w:szCs w:val="21"/>
                    </w:rPr>
                    <w:t>氨氮</w:t>
                  </w:r>
                </w:p>
              </w:tc>
              <w:tc>
                <w:tcPr>
                  <w:tcW w:w="1609" w:type="dxa"/>
                  <w:vAlign w:val="center"/>
                </w:tcPr>
                <w:p>
                  <w:pPr>
                    <w:jc w:val="center"/>
                    <w:rPr>
                      <w:b/>
                      <w:bCs/>
                      <w:szCs w:val="21"/>
                    </w:rPr>
                  </w:pPr>
                  <w:r>
                    <w:rPr>
                      <w:rFonts w:hint="eastAsia"/>
                      <w:b/>
                      <w:bCs/>
                      <w:szCs w:val="21"/>
                    </w:rPr>
                    <w:t>总磷</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rPr>
              <w:tc>
                <w:tcPr>
                  <w:tcW w:w="1330" w:type="dxa"/>
                  <w:vMerge w:val="restart"/>
                  <w:vAlign w:val="center"/>
                </w:tcPr>
                <w:p>
                  <w:pPr>
                    <w:widowControl/>
                    <w:jc w:val="center"/>
                    <w:rPr>
                      <w:rFonts w:hint="eastAsia" w:eastAsia="宋体"/>
                      <w:szCs w:val="21"/>
                      <w:lang w:eastAsia="zh-CN"/>
                    </w:rPr>
                  </w:pPr>
                  <w:r>
                    <w:rPr>
                      <w:rFonts w:hint="eastAsia"/>
                      <w:szCs w:val="21"/>
                      <w:lang w:val="en-US" w:eastAsia="zh-CN"/>
                    </w:rPr>
                    <w:t>大浪河</w:t>
                  </w:r>
                </w:p>
              </w:tc>
              <w:tc>
                <w:tcPr>
                  <w:tcW w:w="1804" w:type="dxa"/>
                  <w:vAlign w:val="center"/>
                </w:tcPr>
                <w:p>
                  <w:pPr>
                    <w:jc w:val="center"/>
                    <w:rPr>
                      <w:szCs w:val="21"/>
                    </w:rPr>
                  </w:pPr>
                  <w:r>
                    <w:rPr>
                      <w:szCs w:val="21"/>
                    </w:rPr>
                    <w:t>监测</w:t>
                  </w:r>
                  <w:r>
                    <w:rPr>
                      <w:rFonts w:hint="eastAsia"/>
                      <w:szCs w:val="21"/>
                    </w:rPr>
                    <w:t>值</w:t>
                  </w:r>
                </w:p>
              </w:tc>
              <w:tc>
                <w:tcPr>
                  <w:tcW w:w="1608" w:type="dxa"/>
                  <w:vAlign w:val="center"/>
                </w:tcPr>
                <w:p>
                  <w:pPr>
                    <w:jc w:val="center"/>
                    <w:rPr>
                      <w:rFonts w:hint="eastAsia" w:eastAsia="宋体"/>
                      <w:szCs w:val="21"/>
                      <w:lang w:val="en-US" w:eastAsia="zh-CN"/>
                    </w:rPr>
                  </w:pPr>
                  <w:r>
                    <w:rPr>
                      <w:rFonts w:hint="eastAsia"/>
                      <w:szCs w:val="21"/>
                      <w:lang w:val="en-US" w:eastAsia="zh-CN"/>
                    </w:rPr>
                    <w:t>17.2</w:t>
                  </w:r>
                </w:p>
              </w:tc>
              <w:tc>
                <w:tcPr>
                  <w:tcW w:w="1609" w:type="dxa"/>
                  <w:vAlign w:val="center"/>
                </w:tcPr>
                <w:p>
                  <w:pPr>
                    <w:jc w:val="center"/>
                    <w:rPr>
                      <w:rFonts w:hint="eastAsia" w:eastAsia="宋体"/>
                      <w:szCs w:val="21"/>
                      <w:lang w:val="en-US" w:eastAsia="zh-CN"/>
                    </w:rPr>
                  </w:pPr>
                  <w:r>
                    <w:rPr>
                      <w:rFonts w:hint="eastAsia"/>
                      <w:szCs w:val="21"/>
                      <w:lang w:val="en-US" w:eastAsia="zh-CN"/>
                    </w:rPr>
                    <w:t>0.06</w:t>
                  </w:r>
                </w:p>
              </w:tc>
              <w:tc>
                <w:tcPr>
                  <w:tcW w:w="1609" w:type="dxa"/>
                  <w:vAlign w:val="center"/>
                </w:tcPr>
                <w:p>
                  <w:pPr>
                    <w:jc w:val="center"/>
                    <w:rPr>
                      <w:szCs w:val="21"/>
                    </w:rPr>
                  </w:pPr>
                  <w:r>
                    <w:rPr>
                      <w:rFonts w:hint="eastAsia"/>
                      <w:szCs w:val="21"/>
                    </w:rPr>
                    <w:t>0.03</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rPr>
              <w:tc>
                <w:tcPr>
                  <w:tcW w:w="1330" w:type="dxa"/>
                  <w:vMerge w:val="continue"/>
                  <w:vAlign w:val="center"/>
                </w:tcPr>
                <w:p>
                  <w:pPr>
                    <w:widowControl/>
                    <w:jc w:val="center"/>
                    <w:rPr>
                      <w:szCs w:val="21"/>
                    </w:rPr>
                  </w:pPr>
                </w:p>
              </w:tc>
              <w:tc>
                <w:tcPr>
                  <w:tcW w:w="1804" w:type="dxa"/>
                  <w:vAlign w:val="center"/>
                </w:tcPr>
                <w:p>
                  <w:pPr>
                    <w:jc w:val="center"/>
                    <w:rPr>
                      <w:szCs w:val="21"/>
                    </w:rPr>
                  </w:pPr>
                  <w:r>
                    <w:rPr>
                      <w:szCs w:val="21"/>
                    </w:rPr>
                    <w:t>标准</w:t>
                  </w:r>
                </w:p>
              </w:tc>
              <w:tc>
                <w:tcPr>
                  <w:tcW w:w="1608" w:type="dxa"/>
                  <w:vAlign w:val="center"/>
                </w:tcPr>
                <w:p>
                  <w:pPr>
                    <w:jc w:val="center"/>
                    <w:rPr>
                      <w:szCs w:val="21"/>
                    </w:rPr>
                  </w:pPr>
                  <w:r>
                    <w:rPr>
                      <w:szCs w:val="21"/>
                    </w:rPr>
                    <w:t>20</w:t>
                  </w:r>
                </w:p>
              </w:tc>
              <w:tc>
                <w:tcPr>
                  <w:tcW w:w="1609" w:type="dxa"/>
                  <w:vAlign w:val="center"/>
                </w:tcPr>
                <w:p>
                  <w:pPr>
                    <w:jc w:val="center"/>
                    <w:rPr>
                      <w:szCs w:val="21"/>
                    </w:rPr>
                  </w:pPr>
                  <w:r>
                    <w:rPr>
                      <w:szCs w:val="21"/>
                    </w:rPr>
                    <w:t>1.0</w:t>
                  </w:r>
                </w:p>
              </w:tc>
              <w:tc>
                <w:tcPr>
                  <w:tcW w:w="1609" w:type="dxa"/>
                  <w:vAlign w:val="center"/>
                </w:tcPr>
                <w:p>
                  <w:pPr>
                    <w:jc w:val="center"/>
                    <w:rPr>
                      <w:szCs w:val="21"/>
                    </w:rPr>
                  </w:pPr>
                  <w:r>
                    <w:rPr>
                      <w:rFonts w:hint="eastAsia"/>
                      <w:szCs w:val="21"/>
                    </w:rPr>
                    <w:t>0.2</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rPr>
              <w:tc>
                <w:tcPr>
                  <w:tcW w:w="1330" w:type="dxa"/>
                  <w:vMerge w:val="continue"/>
                  <w:vAlign w:val="center"/>
                </w:tcPr>
                <w:p>
                  <w:pPr>
                    <w:widowControl/>
                    <w:jc w:val="center"/>
                    <w:rPr>
                      <w:szCs w:val="21"/>
                    </w:rPr>
                  </w:pPr>
                </w:p>
              </w:tc>
              <w:tc>
                <w:tcPr>
                  <w:tcW w:w="1804" w:type="dxa"/>
                  <w:vAlign w:val="center"/>
                </w:tcPr>
                <w:p>
                  <w:pPr>
                    <w:jc w:val="center"/>
                    <w:rPr>
                      <w:szCs w:val="21"/>
                    </w:rPr>
                  </w:pPr>
                  <w:r>
                    <w:rPr>
                      <w:szCs w:val="21"/>
                    </w:rPr>
                    <w:t>标准指数</w:t>
                  </w:r>
                </w:p>
              </w:tc>
              <w:tc>
                <w:tcPr>
                  <w:tcW w:w="1608" w:type="dxa"/>
                  <w:vAlign w:val="center"/>
                </w:tcPr>
                <w:p>
                  <w:pPr>
                    <w:jc w:val="center"/>
                    <w:rPr>
                      <w:rFonts w:hint="eastAsia" w:eastAsia="宋体"/>
                      <w:szCs w:val="21"/>
                      <w:lang w:val="en-US" w:eastAsia="zh-CN"/>
                    </w:rPr>
                  </w:pPr>
                  <w:r>
                    <w:rPr>
                      <w:rFonts w:hint="eastAsia"/>
                      <w:szCs w:val="21"/>
                      <w:lang w:val="en-US" w:eastAsia="zh-CN"/>
                    </w:rPr>
                    <w:t>0.86</w:t>
                  </w:r>
                </w:p>
              </w:tc>
              <w:tc>
                <w:tcPr>
                  <w:tcW w:w="1609" w:type="dxa"/>
                  <w:vAlign w:val="center"/>
                </w:tcPr>
                <w:p>
                  <w:pPr>
                    <w:jc w:val="center"/>
                    <w:rPr>
                      <w:rFonts w:hint="eastAsia" w:eastAsia="宋体"/>
                      <w:szCs w:val="21"/>
                      <w:lang w:val="en-US" w:eastAsia="zh-CN"/>
                    </w:rPr>
                  </w:pPr>
                  <w:r>
                    <w:rPr>
                      <w:rFonts w:hint="eastAsia"/>
                      <w:szCs w:val="21"/>
                      <w:lang w:val="en-US" w:eastAsia="zh-CN"/>
                    </w:rPr>
                    <w:t>0.06</w:t>
                  </w:r>
                </w:p>
              </w:tc>
              <w:tc>
                <w:tcPr>
                  <w:tcW w:w="1609" w:type="dxa"/>
                  <w:vAlign w:val="center"/>
                </w:tcPr>
                <w:p>
                  <w:pPr>
                    <w:jc w:val="center"/>
                    <w:rPr>
                      <w:szCs w:val="21"/>
                    </w:rPr>
                  </w:pPr>
                  <w:r>
                    <w:rPr>
                      <w:rFonts w:hint="eastAsia"/>
                      <w:szCs w:val="21"/>
                    </w:rPr>
                    <w:t>0.15</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108" w:type="dxa"/>
                  <w:bottom w:w="0" w:type="dxa"/>
                  <w:right w:w="108" w:type="dxa"/>
                </w:tblCellMar>
              </w:tblPrEx>
              <w:trPr>
                <w:trHeight w:val="401" w:hRule="atLeast"/>
              </w:trPr>
              <w:tc>
                <w:tcPr>
                  <w:tcW w:w="1330" w:type="dxa"/>
                  <w:vMerge w:val="continue"/>
                  <w:vAlign w:val="center"/>
                </w:tcPr>
                <w:p>
                  <w:pPr>
                    <w:widowControl/>
                    <w:jc w:val="center"/>
                    <w:rPr>
                      <w:szCs w:val="21"/>
                    </w:rPr>
                  </w:pPr>
                </w:p>
              </w:tc>
              <w:tc>
                <w:tcPr>
                  <w:tcW w:w="1804" w:type="dxa"/>
                  <w:vAlign w:val="center"/>
                </w:tcPr>
                <w:p>
                  <w:pPr>
                    <w:jc w:val="center"/>
                    <w:rPr>
                      <w:szCs w:val="21"/>
                    </w:rPr>
                  </w:pPr>
                  <w:r>
                    <w:rPr>
                      <w:szCs w:val="21"/>
                    </w:rPr>
                    <w:t>评价结果</w:t>
                  </w:r>
                </w:p>
              </w:tc>
              <w:tc>
                <w:tcPr>
                  <w:tcW w:w="1608" w:type="dxa"/>
                  <w:vAlign w:val="center"/>
                </w:tcPr>
                <w:p>
                  <w:pPr>
                    <w:jc w:val="center"/>
                    <w:rPr>
                      <w:szCs w:val="21"/>
                    </w:rPr>
                  </w:pPr>
                  <w:r>
                    <w:rPr>
                      <w:szCs w:val="21"/>
                    </w:rPr>
                    <w:t>达标</w:t>
                  </w:r>
                </w:p>
              </w:tc>
              <w:tc>
                <w:tcPr>
                  <w:tcW w:w="1609" w:type="dxa"/>
                  <w:vAlign w:val="center"/>
                </w:tcPr>
                <w:p>
                  <w:pPr>
                    <w:jc w:val="center"/>
                    <w:rPr>
                      <w:szCs w:val="21"/>
                    </w:rPr>
                  </w:pPr>
                  <w:r>
                    <w:rPr>
                      <w:szCs w:val="21"/>
                    </w:rPr>
                    <w:t>达标</w:t>
                  </w:r>
                </w:p>
              </w:tc>
              <w:tc>
                <w:tcPr>
                  <w:tcW w:w="1609" w:type="dxa"/>
                  <w:vAlign w:val="center"/>
                </w:tcPr>
                <w:p>
                  <w:pPr>
                    <w:jc w:val="center"/>
                    <w:rPr>
                      <w:szCs w:val="21"/>
                    </w:rPr>
                  </w:pPr>
                  <w:r>
                    <w:rPr>
                      <w:rFonts w:hint="eastAsia"/>
                      <w:szCs w:val="21"/>
                    </w:rPr>
                    <w:t>达标</w:t>
                  </w:r>
                </w:p>
              </w:tc>
            </w:tr>
          </w:tbl>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由上表监测结果可知，</w:t>
            </w:r>
            <w:r>
              <w:rPr>
                <w:rFonts w:hint="eastAsia" w:cs="宋体"/>
                <w:kern w:val="0"/>
                <w:sz w:val="24"/>
                <w:lang w:val="en-US" w:eastAsia="zh-CN"/>
              </w:rPr>
              <w:t>大浪河</w:t>
            </w:r>
            <w:r>
              <w:rPr>
                <w:rFonts w:hint="eastAsia" w:cs="宋体"/>
                <w:kern w:val="0"/>
                <w:sz w:val="24"/>
              </w:rPr>
              <w:t>水质能够满足《地表水环境质量标准》（GB3838-2002）III类标准的规定限值，说明本项目所在区域地表水环境较好。</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3 声环境质量现状</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本项目周边50m范围内无声环境敏感点。</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4 生态环境质量现状</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建设地点为鲁山县产业集聚区北区，根据现场调查，项目周边多为道路、厂房，地表植被主要为人工种植的植物以及农作物，主要为人工生态系统，无其他自然生态系统。项目周边500m范围内未发现列入《国家重点保护野生植物名录》和《国家重点保护野生动物名录》的动植物。</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400" w:hRule="atLeast"/>
          <w:jc w:val="center"/>
        </w:trPr>
        <w:tc>
          <w:tcPr>
            <w:tcW w:w="800" w:type="dxa"/>
            <w:vAlign w:val="center"/>
          </w:tcPr>
          <w:p>
            <w:pPr>
              <w:adjustRightInd w:val="0"/>
              <w:snapToGrid w:val="0"/>
              <w:jc w:val="center"/>
              <w:rPr>
                <w:rFonts w:cs="宋体"/>
                <w:kern w:val="0"/>
                <w:sz w:val="24"/>
              </w:rPr>
            </w:pPr>
            <w:r>
              <w:rPr>
                <w:rFonts w:hint="eastAsia" w:cs="宋体"/>
                <w:kern w:val="0"/>
                <w:sz w:val="24"/>
              </w:rPr>
              <w:t>环境</w:t>
            </w:r>
          </w:p>
          <w:p>
            <w:pPr>
              <w:adjustRightInd w:val="0"/>
              <w:snapToGrid w:val="0"/>
              <w:jc w:val="center"/>
              <w:rPr>
                <w:rFonts w:cs="宋体"/>
                <w:kern w:val="0"/>
                <w:sz w:val="24"/>
              </w:rPr>
            </w:pPr>
            <w:r>
              <w:rPr>
                <w:rFonts w:hint="eastAsia" w:cs="宋体"/>
                <w:kern w:val="0"/>
                <w:sz w:val="24"/>
              </w:rPr>
              <w:t>保护</w:t>
            </w:r>
          </w:p>
          <w:p>
            <w:pPr>
              <w:adjustRightInd w:val="0"/>
              <w:snapToGrid w:val="0"/>
              <w:jc w:val="center"/>
              <w:rPr>
                <w:rFonts w:cs="宋体"/>
                <w:kern w:val="0"/>
                <w:sz w:val="24"/>
              </w:rPr>
            </w:pPr>
            <w:r>
              <w:rPr>
                <w:rFonts w:hint="eastAsia" w:cs="宋体"/>
                <w:kern w:val="0"/>
                <w:sz w:val="24"/>
              </w:rPr>
              <w:t>目标</w:t>
            </w:r>
          </w:p>
        </w:tc>
        <w:tc>
          <w:tcPr>
            <w:tcW w:w="8190" w:type="dxa"/>
            <w:vAlign w:val="center"/>
          </w:tcPr>
          <w:p>
            <w:pPr>
              <w:autoSpaceDE w:val="0"/>
              <w:autoSpaceDN w:val="0"/>
              <w:adjustRightInd w:val="0"/>
              <w:snapToGrid w:val="0"/>
              <w:spacing w:line="360" w:lineRule="auto"/>
              <w:ind w:firstLine="480" w:firstLineChars="200"/>
              <w:rPr>
                <w:rFonts w:cs="宋体"/>
                <w:b/>
                <w:bCs/>
                <w:kern w:val="0"/>
                <w:sz w:val="24"/>
                <w:u w:val="single"/>
              </w:rPr>
            </w:pPr>
            <w:r>
              <w:rPr>
                <w:rFonts w:hint="eastAsia" w:cs="宋体"/>
                <w:kern w:val="0"/>
                <w:sz w:val="24"/>
              </w:rPr>
              <w:t>本项目位于鲁山县产业集聚区北区，评价范围内无自然保护区、森林公园、文物景观等环境敏感点。本项目主要环境保护目标见下表3-3。</w:t>
            </w:r>
          </w:p>
          <w:p>
            <w:pPr>
              <w:pStyle w:val="44"/>
              <w:spacing w:line="360" w:lineRule="auto"/>
              <w:rPr>
                <w:rFonts w:eastAsia="宋体"/>
                <w:sz w:val="24"/>
                <w:szCs w:val="24"/>
              </w:rPr>
            </w:pPr>
            <w:r>
              <w:rPr>
                <w:rFonts w:eastAsia="宋体"/>
                <w:sz w:val="24"/>
                <w:szCs w:val="24"/>
              </w:rPr>
              <w:t>表</w:t>
            </w:r>
            <w:r>
              <w:rPr>
                <w:rFonts w:hint="eastAsia" w:eastAsia="宋体"/>
                <w:sz w:val="24"/>
                <w:szCs w:val="24"/>
              </w:rPr>
              <w:t>3-3</w:t>
            </w:r>
            <w:r>
              <w:rPr>
                <w:rFonts w:eastAsia="宋体"/>
                <w:sz w:val="24"/>
                <w:szCs w:val="24"/>
              </w:rPr>
              <w:t xml:space="preserve">    </w:t>
            </w:r>
            <w:r>
              <w:rPr>
                <w:rFonts w:hint="eastAsia" w:eastAsia="宋体"/>
                <w:sz w:val="24"/>
                <w:szCs w:val="24"/>
              </w:rPr>
              <w:t>本项目主要</w:t>
            </w:r>
            <w:r>
              <w:rPr>
                <w:rFonts w:eastAsia="宋体"/>
                <w:sz w:val="24"/>
                <w:szCs w:val="24"/>
              </w:rPr>
              <w:t>环境保护目标</w:t>
            </w:r>
          </w:p>
          <w:tbl>
            <w:tblPr>
              <w:tblStyle w:val="26"/>
              <w:tblW w:w="7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
              <w:gridCol w:w="962"/>
              <w:gridCol w:w="1119"/>
              <w:gridCol w:w="1177"/>
              <w:gridCol w:w="808"/>
              <w:gridCol w:w="1107"/>
              <w:gridCol w:w="1120"/>
              <w:gridCol w:w="681"/>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331" w:type="dxa"/>
                  <w:vMerge w:val="restart"/>
                  <w:tcBorders>
                    <w:top w:val="single" w:color="auto" w:sz="4" w:space="0"/>
                    <w:left w:val="single" w:color="auto" w:sz="4" w:space="0"/>
                    <w:bottom w:val="single" w:color="auto" w:sz="4" w:space="0"/>
                    <w:right w:val="single" w:color="auto" w:sz="4" w:space="0"/>
                  </w:tcBorders>
                  <w:vAlign w:val="center"/>
                </w:tcPr>
                <w:p>
                  <w:pPr>
                    <w:spacing w:line="240" w:lineRule="exact"/>
                    <w:jc w:val="center"/>
                    <w:rPr>
                      <w:b/>
                      <w:sz w:val="18"/>
                      <w:szCs w:val="18"/>
                    </w:rPr>
                  </w:pPr>
                  <w:r>
                    <w:rPr>
                      <w:b/>
                      <w:sz w:val="18"/>
                      <w:szCs w:val="18"/>
                    </w:rPr>
                    <w:t>环境要素</w:t>
                  </w:r>
                </w:p>
              </w:tc>
              <w:tc>
                <w:tcPr>
                  <w:tcW w:w="962"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名称</w:t>
                  </w:r>
                </w:p>
              </w:tc>
              <w:tc>
                <w:tcPr>
                  <w:tcW w:w="2296"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坐标</w:t>
                  </w:r>
                </w:p>
              </w:tc>
              <w:tc>
                <w:tcPr>
                  <w:tcW w:w="808"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保护</w:t>
                  </w:r>
                </w:p>
                <w:p>
                  <w:pPr>
                    <w:jc w:val="center"/>
                    <w:rPr>
                      <w:b/>
                      <w:sz w:val="18"/>
                      <w:szCs w:val="18"/>
                    </w:rPr>
                  </w:pPr>
                  <w:r>
                    <w:rPr>
                      <w:b/>
                      <w:sz w:val="18"/>
                      <w:szCs w:val="18"/>
                    </w:rPr>
                    <w:t>对象</w:t>
                  </w:r>
                </w:p>
              </w:tc>
              <w:tc>
                <w:tcPr>
                  <w:tcW w:w="1107"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保护</w:t>
                  </w:r>
                </w:p>
                <w:p>
                  <w:pPr>
                    <w:jc w:val="center"/>
                    <w:rPr>
                      <w:b/>
                      <w:sz w:val="18"/>
                      <w:szCs w:val="18"/>
                    </w:rPr>
                  </w:pPr>
                  <w:r>
                    <w:rPr>
                      <w:b/>
                      <w:sz w:val="18"/>
                      <w:szCs w:val="18"/>
                    </w:rPr>
                    <w:t>内容</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环境</w:t>
                  </w:r>
                </w:p>
                <w:p>
                  <w:pPr>
                    <w:jc w:val="center"/>
                    <w:rPr>
                      <w:b/>
                      <w:sz w:val="18"/>
                      <w:szCs w:val="18"/>
                    </w:rPr>
                  </w:pPr>
                  <w:r>
                    <w:rPr>
                      <w:b/>
                      <w:sz w:val="18"/>
                      <w:szCs w:val="18"/>
                    </w:rPr>
                    <w:t>功能区</w:t>
                  </w:r>
                </w:p>
              </w:tc>
              <w:tc>
                <w:tcPr>
                  <w:tcW w:w="681"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相对</w:t>
                  </w:r>
                </w:p>
                <w:p>
                  <w:pPr>
                    <w:jc w:val="center"/>
                    <w:rPr>
                      <w:b/>
                      <w:sz w:val="18"/>
                      <w:szCs w:val="18"/>
                    </w:rPr>
                  </w:pPr>
                  <w:r>
                    <w:rPr>
                      <w:b/>
                      <w:sz w:val="18"/>
                      <w:szCs w:val="18"/>
                    </w:rPr>
                    <w:t>厂区</w:t>
                  </w:r>
                </w:p>
                <w:p>
                  <w:pPr>
                    <w:jc w:val="center"/>
                    <w:rPr>
                      <w:b/>
                      <w:sz w:val="18"/>
                      <w:szCs w:val="18"/>
                    </w:rPr>
                  </w:pPr>
                  <w:r>
                    <w:rPr>
                      <w:b/>
                      <w:sz w:val="18"/>
                      <w:szCs w:val="18"/>
                    </w:rPr>
                    <w:t>方位</w:t>
                  </w:r>
                </w:p>
              </w:tc>
              <w:tc>
                <w:tcPr>
                  <w:tcW w:w="659" w:type="dxa"/>
                  <w:vMerge w:val="restart"/>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相对厂界距离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c>
                <w:tcPr>
                  <w:tcW w:w="96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c>
                <w:tcPr>
                  <w:tcW w:w="1119"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北纬</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b/>
                      <w:sz w:val="18"/>
                      <w:szCs w:val="18"/>
                    </w:rPr>
                    <w:t>东经</w:t>
                  </w:r>
                </w:p>
              </w:tc>
              <w:tc>
                <w:tcPr>
                  <w:tcW w:w="80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c>
                <w:tcPr>
                  <w:tcW w:w="110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c>
                <w:tcPr>
                  <w:tcW w:w="681"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331" w:type="dxa"/>
                  <w:vMerge w:val="restart"/>
                  <w:tcBorders>
                    <w:top w:val="single" w:color="auto" w:sz="4" w:space="0"/>
                    <w:left w:val="single" w:color="auto" w:sz="4" w:space="0"/>
                    <w:right w:val="single" w:color="auto" w:sz="4" w:space="0"/>
                  </w:tcBorders>
                  <w:vAlign w:val="center"/>
                </w:tcPr>
                <w:p>
                  <w:pPr>
                    <w:jc w:val="center"/>
                    <w:rPr>
                      <w:sz w:val="18"/>
                      <w:szCs w:val="18"/>
                    </w:rPr>
                  </w:pPr>
                  <w:r>
                    <w:rPr>
                      <w:sz w:val="18"/>
                      <w:szCs w:val="18"/>
                    </w:rPr>
                    <w:t>环境空气</w:t>
                  </w:r>
                </w:p>
              </w:tc>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井沟村</w:t>
                  </w:r>
                </w:p>
              </w:tc>
              <w:tc>
                <w:tcPr>
                  <w:tcW w:w="111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33°47′55.7″</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112°55′52.2″</w:t>
                  </w:r>
                </w:p>
              </w:tc>
              <w:tc>
                <w:tcPr>
                  <w:tcW w:w="80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居民区</w:t>
                  </w:r>
                </w:p>
              </w:tc>
              <w:tc>
                <w:tcPr>
                  <w:tcW w:w="110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119户</w:t>
                  </w:r>
                </w:p>
                <w:p>
                  <w:pPr>
                    <w:jc w:val="center"/>
                    <w:rPr>
                      <w:sz w:val="18"/>
                      <w:szCs w:val="18"/>
                    </w:rPr>
                  </w:pPr>
                  <w:r>
                    <w:rPr>
                      <w:rFonts w:hint="eastAsia"/>
                      <w:sz w:val="18"/>
                      <w:szCs w:val="18"/>
                    </w:rPr>
                    <w:t>（476人）</w:t>
                  </w:r>
                </w:p>
              </w:tc>
              <w:tc>
                <w:tcPr>
                  <w:tcW w:w="1120" w:type="dxa"/>
                  <w:vMerge w:val="restart"/>
                  <w:tcBorders>
                    <w:top w:val="single" w:color="auto" w:sz="4" w:space="0"/>
                    <w:left w:val="single" w:color="auto" w:sz="4" w:space="0"/>
                    <w:right w:val="single" w:color="auto" w:sz="4" w:space="0"/>
                  </w:tcBorders>
                  <w:vAlign w:val="center"/>
                </w:tcPr>
                <w:p>
                  <w:pPr>
                    <w:jc w:val="center"/>
                    <w:rPr>
                      <w:sz w:val="18"/>
                      <w:szCs w:val="18"/>
                    </w:rPr>
                  </w:pPr>
                  <w:r>
                    <w:rPr>
                      <w:rFonts w:cs="宋体"/>
                      <w:kern w:val="0"/>
                      <w:sz w:val="18"/>
                      <w:szCs w:val="18"/>
                    </w:rPr>
                    <w:t>《环境空气质量标准》（GB3095-2012）</w:t>
                  </w:r>
                  <w:r>
                    <w:rPr>
                      <w:rFonts w:hint="eastAsia" w:cs="宋体"/>
                      <w:kern w:val="0"/>
                      <w:sz w:val="18"/>
                      <w:szCs w:val="18"/>
                    </w:rPr>
                    <w:t>二类区</w:t>
                  </w: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东北</w:t>
                  </w:r>
                </w:p>
              </w:tc>
              <w:tc>
                <w:tcPr>
                  <w:tcW w:w="65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89m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331" w:type="dxa"/>
                  <w:vMerge w:val="continue"/>
                  <w:tcBorders>
                    <w:left w:val="single" w:color="auto" w:sz="4" w:space="0"/>
                    <w:right w:val="single" w:color="auto" w:sz="4" w:space="0"/>
                  </w:tcBorders>
                  <w:vAlign w:val="center"/>
                </w:tcPr>
                <w:p>
                  <w:pPr>
                    <w:jc w:val="center"/>
                    <w:rPr>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梁洼第五小学</w:t>
                  </w:r>
                </w:p>
              </w:tc>
              <w:tc>
                <w:tcPr>
                  <w:tcW w:w="111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33°47′36.6″</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112°55′30.9″</w:t>
                  </w:r>
                </w:p>
              </w:tc>
              <w:tc>
                <w:tcPr>
                  <w:tcW w:w="80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师生</w:t>
                  </w:r>
                </w:p>
              </w:tc>
              <w:tc>
                <w:tcPr>
                  <w:tcW w:w="1107"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18"/>
                      <w:szCs w:val="18"/>
                      <w:lang w:val="en-US" w:eastAsia="zh-CN"/>
                    </w:rPr>
                  </w:pPr>
                  <w:r>
                    <w:rPr>
                      <w:rFonts w:hint="eastAsia"/>
                      <w:sz w:val="18"/>
                      <w:szCs w:val="18"/>
                      <w:lang w:val="en-US" w:eastAsia="zh-CN"/>
                    </w:rPr>
                    <w:t>386人</w:t>
                  </w:r>
                </w:p>
              </w:tc>
              <w:tc>
                <w:tcPr>
                  <w:tcW w:w="1120" w:type="dxa"/>
                  <w:vMerge w:val="continue"/>
                  <w:tcBorders>
                    <w:left w:val="single" w:color="auto" w:sz="4" w:space="0"/>
                    <w:right w:val="single" w:color="auto" w:sz="4" w:space="0"/>
                  </w:tcBorders>
                  <w:vAlign w:val="center"/>
                </w:tcPr>
                <w:p>
                  <w:pPr>
                    <w:jc w:val="center"/>
                    <w:rPr>
                      <w:rFonts w:cs="宋体"/>
                      <w:kern w:val="0"/>
                      <w:sz w:val="18"/>
                      <w:szCs w:val="18"/>
                    </w:rPr>
                  </w:pP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西南</w:t>
                  </w:r>
                </w:p>
              </w:tc>
              <w:tc>
                <w:tcPr>
                  <w:tcW w:w="65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108m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rPr>
              <w:tc>
                <w:tcPr>
                  <w:tcW w:w="331" w:type="dxa"/>
                  <w:vMerge w:val="continue"/>
                  <w:tcBorders>
                    <w:left w:val="single" w:color="auto" w:sz="4" w:space="0"/>
                    <w:right w:val="single" w:color="auto" w:sz="4" w:space="0"/>
                  </w:tcBorders>
                  <w:vAlign w:val="center"/>
                </w:tcPr>
                <w:p>
                  <w:pPr>
                    <w:jc w:val="center"/>
                    <w:rPr>
                      <w:sz w:val="18"/>
                      <w:szCs w:val="18"/>
                    </w:rPr>
                  </w:pPr>
                </w:p>
              </w:tc>
              <w:tc>
                <w:tcPr>
                  <w:tcW w:w="962"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鹁鸽吴村</w:t>
                  </w:r>
                </w:p>
              </w:tc>
              <w:tc>
                <w:tcPr>
                  <w:tcW w:w="111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33°47′26.7″</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112°55′28.1″</w:t>
                  </w:r>
                </w:p>
              </w:tc>
              <w:tc>
                <w:tcPr>
                  <w:tcW w:w="808"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sz w:val="18"/>
                      <w:szCs w:val="18"/>
                    </w:rPr>
                    <w:t>居民区</w:t>
                  </w:r>
                </w:p>
              </w:tc>
              <w:tc>
                <w:tcPr>
                  <w:tcW w:w="110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370户（1480人）</w:t>
                  </w:r>
                </w:p>
              </w:tc>
              <w:tc>
                <w:tcPr>
                  <w:tcW w:w="1120" w:type="dxa"/>
                  <w:vMerge w:val="continue"/>
                  <w:tcBorders>
                    <w:left w:val="single" w:color="auto" w:sz="4" w:space="0"/>
                    <w:right w:val="single" w:color="auto" w:sz="4" w:space="0"/>
                  </w:tcBorders>
                  <w:vAlign w:val="center"/>
                </w:tcPr>
                <w:p>
                  <w:pPr>
                    <w:jc w:val="center"/>
                    <w:rPr>
                      <w:rFonts w:cs="宋体"/>
                      <w:kern w:val="0"/>
                      <w:sz w:val="18"/>
                      <w:szCs w:val="18"/>
                    </w:rPr>
                  </w:pPr>
                </w:p>
              </w:tc>
              <w:tc>
                <w:tcPr>
                  <w:tcW w:w="681"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西南</w:t>
                  </w:r>
                </w:p>
              </w:tc>
              <w:tc>
                <w:tcPr>
                  <w:tcW w:w="659"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242m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类别</w:t>
                  </w:r>
                </w:p>
              </w:tc>
              <w:tc>
                <w:tcPr>
                  <w:tcW w:w="2081"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保护目标</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方位</w:t>
                  </w:r>
                </w:p>
              </w:tc>
              <w:tc>
                <w:tcPr>
                  <w:tcW w:w="1915" w:type="dxa"/>
                  <w:gridSpan w:val="2"/>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距离（m）</w:t>
                  </w:r>
                </w:p>
              </w:tc>
              <w:tc>
                <w:tcPr>
                  <w:tcW w:w="2460" w:type="dxa"/>
                  <w:gridSpan w:val="3"/>
                  <w:tcBorders>
                    <w:top w:val="single" w:color="auto" w:sz="4" w:space="0"/>
                    <w:left w:val="single" w:color="auto" w:sz="4" w:space="0"/>
                    <w:bottom w:val="single" w:color="auto" w:sz="4" w:space="0"/>
                    <w:right w:val="single" w:color="auto" w:sz="4" w:space="0"/>
                  </w:tcBorders>
                  <w:vAlign w:val="center"/>
                </w:tcPr>
                <w:p>
                  <w:pPr>
                    <w:jc w:val="center"/>
                    <w:rPr>
                      <w:b/>
                      <w:sz w:val="18"/>
                      <w:szCs w:val="18"/>
                    </w:rPr>
                  </w:pPr>
                  <w:r>
                    <w:rPr>
                      <w:rFonts w:hint="eastAsia"/>
                      <w:b/>
                      <w:sz w:val="18"/>
                      <w:szCs w:val="18"/>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trPr>
              <w:tc>
                <w:tcPr>
                  <w:tcW w:w="331" w:type="dxa"/>
                  <w:tcBorders>
                    <w:top w:val="single" w:color="auto" w:sz="4" w:space="0"/>
                    <w:left w:val="single" w:color="auto" w:sz="4" w:space="0"/>
                    <w:right w:val="single" w:color="auto" w:sz="4" w:space="0"/>
                  </w:tcBorders>
                  <w:vAlign w:val="center"/>
                </w:tcPr>
                <w:p>
                  <w:pPr>
                    <w:jc w:val="center"/>
                    <w:rPr>
                      <w:b/>
                      <w:sz w:val="18"/>
                      <w:szCs w:val="18"/>
                    </w:rPr>
                  </w:pPr>
                  <w:r>
                    <w:rPr>
                      <w:sz w:val="18"/>
                      <w:szCs w:val="18"/>
                    </w:rPr>
                    <w:t>地表水</w:t>
                  </w:r>
                </w:p>
              </w:tc>
              <w:tc>
                <w:tcPr>
                  <w:tcW w:w="2081" w:type="dxa"/>
                  <w:gridSpan w:val="2"/>
                  <w:tcBorders>
                    <w:top w:val="single" w:color="auto" w:sz="4" w:space="0"/>
                    <w:left w:val="single" w:color="auto" w:sz="4" w:space="0"/>
                    <w:right w:val="single" w:color="auto" w:sz="4" w:space="0"/>
                  </w:tcBorders>
                  <w:vAlign w:val="center"/>
                </w:tcPr>
                <w:p>
                  <w:pPr>
                    <w:jc w:val="center"/>
                    <w:rPr>
                      <w:sz w:val="18"/>
                      <w:szCs w:val="18"/>
                    </w:rPr>
                  </w:pPr>
                  <w:r>
                    <w:rPr>
                      <w:rFonts w:hint="eastAsia"/>
                      <w:sz w:val="18"/>
                      <w:szCs w:val="18"/>
                    </w:rPr>
                    <w:t>大浪河</w:t>
                  </w:r>
                </w:p>
              </w:tc>
              <w:tc>
                <w:tcPr>
                  <w:tcW w:w="1177" w:type="dxa"/>
                  <w:tcBorders>
                    <w:top w:val="single" w:color="auto" w:sz="4" w:space="0"/>
                    <w:left w:val="single" w:color="auto" w:sz="4" w:space="0"/>
                    <w:right w:val="single" w:color="auto" w:sz="4" w:space="0"/>
                  </w:tcBorders>
                  <w:vAlign w:val="center"/>
                </w:tcPr>
                <w:p>
                  <w:pPr>
                    <w:jc w:val="center"/>
                    <w:rPr>
                      <w:sz w:val="18"/>
                      <w:szCs w:val="18"/>
                    </w:rPr>
                  </w:pPr>
                  <w:r>
                    <w:rPr>
                      <w:rFonts w:hint="eastAsia"/>
                      <w:sz w:val="18"/>
                      <w:szCs w:val="18"/>
                    </w:rPr>
                    <w:t>西南</w:t>
                  </w:r>
                </w:p>
              </w:tc>
              <w:tc>
                <w:tcPr>
                  <w:tcW w:w="1915" w:type="dxa"/>
                  <w:gridSpan w:val="2"/>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755</w:t>
                  </w:r>
                </w:p>
              </w:tc>
              <w:tc>
                <w:tcPr>
                  <w:tcW w:w="2460" w:type="dxa"/>
                  <w:gridSpan w:val="3"/>
                  <w:tcBorders>
                    <w:top w:val="single" w:color="auto" w:sz="4" w:space="0"/>
                    <w:left w:val="single" w:color="auto" w:sz="4" w:space="0"/>
                    <w:right w:val="single" w:color="auto" w:sz="4" w:space="0"/>
                  </w:tcBorders>
                  <w:vAlign w:val="center"/>
                </w:tcPr>
                <w:p>
                  <w:pPr>
                    <w:jc w:val="center"/>
                    <w:rPr>
                      <w:sz w:val="18"/>
                      <w:szCs w:val="18"/>
                    </w:rPr>
                  </w:pPr>
                  <w:r>
                    <w:rPr>
                      <w:sz w:val="18"/>
                      <w:szCs w:val="18"/>
                    </w:rPr>
                    <w:t>《地表水环境质量标准》</w:t>
                  </w:r>
                </w:p>
                <w:p>
                  <w:pPr>
                    <w:jc w:val="center"/>
                    <w:rPr>
                      <w:sz w:val="18"/>
                      <w:szCs w:val="18"/>
                    </w:rPr>
                  </w:pPr>
                  <w:r>
                    <w:rPr>
                      <w:rFonts w:hint="eastAsia"/>
                      <w:sz w:val="18"/>
                      <w:szCs w:val="18"/>
                    </w:rPr>
                    <w:t>（</w:t>
                  </w:r>
                  <w:r>
                    <w:rPr>
                      <w:sz w:val="18"/>
                      <w:szCs w:val="18"/>
                    </w:rPr>
                    <w:t>GB3838-2002）</w:t>
                  </w:r>
                  <w:r>
                    <w:rPr>
                      <w:rFonts w:hint="eastAsia"/>
                      <w:sz w:val="18"/>
                      <w:szCs w:val="18"/>
                    </w:rPr>
                    <w:t>Ⅲ</w:t>
                  </w:r>
                  <w:r>
                    <w:rPr>
                      <w:sz w:val="18"/>
                      <w:szCs w:val="18"/>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 w:type="dxa"/>
                  <w:tcBorders>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声环境</w:t>
                  </w:r>
                </w:p>
              </w:tc>
              <w:tc>
                <w:tcPr>
                  <w:tcW w:w="2081" w:type="dxa"/>
                  <w:gridSpan w:val="2"/>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厂界外1m范围内</w:t>
                  </w:r>
                </w:p>
              </w:tc>
              <w:tc>
                <w:tcPr>
                  <w:tcW w:w="1177" w:type="dxa"/>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w:t>
                  </w:r>
                </w:p>
              </w:tc>
              <w:tc>
                <w:tcPr>
                  <w:tcW w:w="1915" w:type="dxa"/>
                  <w:gridSpan w:val="2"/>
                  <w:tcBorders>
                    <w:top w:val="single" w:color="auto" w:sz="4" w:space="0"/>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w:t>
                  </w:r>
                </w:p>
              </w:tc>
              <w:tc>
                <w:tcPr>
                  <w:tcW w:w="2460" w:type="dxa"/>
                  <w:gridSpan w:val="3"/>
                  <w:tcBorders>
                    <w:left w:val="single" w:color="auto" w:sz="4" w:space="0"/>
                    <w:bottom w:val="single" w:color="auto" w:sz="4" w:space="0"/>
                    <w:right w:val="single" w:color="auto" w:sz="4" w:space="0"/>
                  </w:tcBorders>
                  <w:vAlign w:val="center"/>
                </w:tcPr>
                <w:p>
                  <w:pPr>
                    <w:jc w:val="center"/>
                    <w:rPr>
                      <w:sz w:val="18"/>
                      <w:szCs w:val="18"/>
                    </w:rPr>
                  </w:pPr>
                  <w:r>
                    <w:rPr>
                      <w:rFonts w:hint="eastAsia"/>
                      <w:sz w:val="18"/>
                      <w:szCs w:val="18"/>
                    </w:rPr>
                    <w:t>《</w:t>
                  </w:r>
                  <w:r>
                    <w:rPr>
                      <w:sz w:val="18"/>
                      <w:szCs w:val="18"/>
                    </w:rPr>
                    <w:t>声环境质量标准</w:t>
                  </w:r>
                  <w:r>
                    <w:rPr>
                      <w:rFonts w:hint="eastAsia"/>
                      <w:sz w:val="18"/>
                      <w:szCs w:val="18"/>
                    </w:rPr>
                    <w:t>》</w:t>
                  </w:r>
                </w:p>
                <w:p>
                  <w:pPr>
                    <w:jc w:val="center"/>
                    <w:rPr>
                      <w:sz w:val="18"/>
                      <w:szCs w:val="18"/>
                    </w:rPr>
                  </w:pPr>
                  <w:r>
                    <w:rPr>
                      <w:sz w:val="18"/>
                      <w:szCs w:val="18"/>
                    </w:rPr>
                    <w:t>（GB3096-2008）</w:t>
                  </w:r>
                  <w:r>
                    <w:rPr>
                      <w:rFonts w:hint="eastAsia"/>
                      <w:sz w:val="18"/>
                      <w:szCs w:val="18"/>
                    </w:rPr>
                    <w:t>3</w:t>
                  </w:r>
                  <w:r>
                    <w:rPr>
                      <w:sz w:val="18"/>
                      <w:szCs w:val="18"/>
                    </w:rPr>
                    <w:t>类标准</w:t>
                  </w:r>
                </w:p>
              </w:tc>
            </w:tr>
          </w:tbl>
          <w:p>
            <w:pPr>
              <w:autoSpaceDE w:val="0"/>
              <w:autoSpaceDN w:val="0"/>
              <w:adjustRightInd w:val="0"/>
              <w:snapToGrid w:val="0"/>
              <w:spacing w:line="360" w:lineRule="auto"/>
              <w:ind w:firstLine="480" w:firstLineChars="200"/>
              <w:rPr>
                <w:rFonts w:cs="宋体"/>
                <w:kern w:val="0"/>
                <w:sz w:val="24"/>
              </w:rPr>
            </w:pPr>
          </w:p>
          <w:p>
            <w:pPr>
              <w:autoSpaceDE w:val="0"/>
              <w:autoSpaceDN w:val="0"/>
              <w:adjustRightInd w:val="0"/>
              <w:snapToGrid w:val="0"/>
              <w:spacing w:line="360" w:lineRule="auto"/>
              <w:ind w:firstLine="480" w:firstLineChars="200"/>
              <w:rPr>
                <w:rFonts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723" w:hRule="atLeast"/>
          <w:jc w:val="center"/>
        </w:trPr>
        <w:tc>
          <w:tcPr>
            <w:tcW w:w="800" w:type="dxa"/>
            <w:tcMar>
              <w:left w:w="28" w:type="dxa"/>
              <w:right w:w="28" w:type="dxa"/>
            </w:tcMar>
            <w:vAlign w:val="center"/>
          </w:tcPr>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r>
              <w:rPr>
                <w:rFonts w:hint="eastAsia" w:cs="宋体"/>
                <w:kern w:val="0"/>
                <w:sz w:val="24"/>
              </w:rPr>
              <w:t>污染</w:t>
            </w:r>
          </w:p>
          <w:p>
            <w:pPr>
              <w:adjustRightInd w:val="0"/>
              <w:snapToGrid w:val="0"/>
              <w:jc w:val="center"/>
              <w:rPr>
                <w:rFonts w:cs="宋体"/>
                <w:kern w:val="0"/>
                <w:sz w:val="24"/>
              </w:rPr>
            </w:pPr>
            <w:r>
              <w:rPr>
                <w:rFonts w:hint="eastAsia" w:cs="宋体"/>
                <w:kern w:val="0"/>
                <w:sz w:val="24"/>
              </w:rPr>
              <w:t>物排</w:t>
            </w:r>
          </w:p>
          <w:p>
            <w:pPr>
              <w:adjustRightInd w:val="0"/>
              <w:snapToGrid w:val="0"/>
              <w:jc w:val="center"/>
              <w:rPr>
                <w:rFonts w:cs="宋体"/>
                <w:kern w:val="0"/>
                <w:sz w:val="24"/>
              </w:rPr>
            </w:pPr>
            <w:r>
              <w:rPr>
                <w:rFonts w:hint="eastAsia" w:cs="宋体"/>
                <w:kern w:val="0"/>
                <w:sz w:val="24"/>
              </w:rPr>
              <w:t>放控</w:t>
            </w:r>
          </w:p>
          <w:p>
            <w:pPr>
              <w:adjustRightInd w:val="0"/>
              <w:snapToGrid w:val="0"/>
              <w:jc w:val="center"/>
              <w:rPr>
                <w:rFonts w:cs="宋体"/>
                <w:kern w:val="0"/>
                <w:sz w:val="24"/>
              </w:rPr>
            </w:pPr>
            <w:r>
              <w:rPr>
                <w:rFonts w:hint="eastAsia" w:cs="宋体"/>
                <w:kern w:val="0"/>
                <w:sz w:val="24"/>
              </w:rPr>
              <w:t>制标</w:t>
            </w:r>
          </w:p>
          <w:p>
            <w:pPr>
              <w:adjustRightInd w:val="0"/>
              <w:snapToGrid w:val="0"/>
              <w:jc w:val="center"/>
              <w:rPr>
                <w:rFonts w:cs="宋体"/>
                <w:kern w:val="0"/>
                <w:sz w:val="24"/>
              </w:rPr>
            </w:pPr>
            <w:r>
              <w:rPr>
                <w:rFonts w:hint="eastAsia" w:cs="宋体"/>
                <w:kern w:val="0"/>
                <w:sz w:val="24"/>
              </w:rPr>
              <w:t>准</w:t>
            </w: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p>
            <w:pPr>
              <w:adjustRightInd w:val="0"/>
              <w:snapToGrid w:val="0"/>
              <w:jc w:val="center"/>
              <w:rPr>
                <w:rFonts w:cs="宋体"/>
                <w:kern w:val="0"/>
                <w:sz w:val="24"/>
              </w:rPr>
            </w:pPr>
          </w:p>
        </w:tc>
        <w:tc>
          <w:tcPr>
            <w:tcW w:w="8190" w:type="dxa"/>
            <w:vAlign w:val="center"/>
          </w:tcPr>
          <w:tbl>
            <w:tblPr>
              <w:tblStyle w:val="26"/>
              <w:tblpPr w:leftFromText="180" w:rightFromText="180" w:vertAnchor="text" w:horzAnchor="margin" w:tblpY="212"/>
              <w:tblOverlap w:val="never"/>
              <w:tblW w:w="7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5"/>
              <w:gridCol w:w="2712"/>
              <w:gridCol w:w="1106"/>
              <w:gridCol w:w="119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trHeight w:val="259" w:hRule="atLeast"/>
              </w:trPr>
              <w:tc>
                <w:tcPr>
                  <w:tcW w:w="745" w:type="dxa"/>
                  <w:vAlign w:val="center"/>
                </w:tcPr>
                <w:p>
                  <w:pPr>
                    <w:contextualSpacing/>
                    <w:jc w:val="center"/>
                    <w:rPr>
                      <w:b/>
                      <w:bCs/>
                      <w:szCs w:val="21"/>
                    </w:rPr>
                  </w:pPr>
                  <w:r>
                    <w:rPr>
                      <w:b/>
                      <w:bCs/>
                      <w:szCs w:val="21"/>
                    </w:rPr>
                    <w:t>环境</w:t>
                  </w:r>
                </w:p>
                <w:p>
                  <w:pPr>
                    <w:contextualSpacing/>
                    <w:jc w:val="center"/>
                    <w:rPr>
                      <w:b/>
                      <w:bCs/>
                      <w:szCs w:val="21"/>
                    </w:rPr>
                  </w:pPr>
                  <w:r>
                    <w:rPr>
                      <w:b/>
                      <w:bCs/>
                      <w:szCs w:val="21"/>
                    </w:rPr>
                    <w:t>要素</w:t>
                  </w:r>
                </w:p>
              </w:tc>
              <w:tc>
                <w:tcPr>
                  <w:tcW w:w="2712" w:type="dxa"/>
                  <w:vAlign w:val="center"/>
                </w:tcPr>
                <w:p>
                  <w:pPr>
                    <w:contextualSpacing/>
                    <w:jc w:val="center"/>
                    <w:rPr>
                      <w:b/>
                      <w:bCs/>
                      <w:szCs w:val="21"/>
                    </w:rPr>
                  </w:pPr>
                  <w:r>
                    <w:rPr>
                      <w:b/>
                      <w:bCs/>
                      <w:szCs w:val="21"/>
                    </w:rPr>
                    <w:t>标准名称</w:t>
                  </w:r>
                </w:p>
              </w:tc>
              <w:tc>
                <w:tcPr>
                  <w:tcW w:w="1106" w:type="dxa"/>
                  <w:vAlign w:val="center"/>
                </w:tcPr>
                <w:p>
                  <w:pPr>
                    <w:contextualSpacing/>
                    <w:jc w:val="center"/>
                    <w:rPr>
                      <w:b/>
                      <w:bCs/>
                      <w:szCs w:val="21"/>
                    </w:rPr>
                  </w:pPr>
                  <w:r>
                    <w:rPr>
                      <w:b/>
                      <w:bCs/>
                      <w:szCs w:val="21"/>
                    </w:rPr>
                    <w:t>执行级别</w:t>
                  </w:r>
                  <w:r>
                    <w:rPr>
                      <w:rFonts w:hint="eastAsia"/>
                      <w:b/>
                      <w:bCs/>
                      <w:szCs w:val="21"/>
                    </w:rPr>
                    <w:t>/</w:t>
                  </w:r>
                  <w:r>
                    <w:rPr>
                      <w:b/>
                      <w:bCs/>
                      <w:szCs w:val="21"/>
                    </w:rPr>
                    <w:t>（类别）</w:t>
                  </w:r>
                </w:p>
              </w:tc>
              <w:tc>
                <w:tcPr>
                  <w:tcW w:w="3342" w:type="dxa"/>
                  <w:gridSpan w:val="2"/>
                  <w:vAlign w:val="center"/>
                </w:tcPr>
                <w:p>
                  <w:pPr>
                    <w:contextualSpacing/>
                    <w:jc w:val="center"/>
                    <w:rPr>
                      <w:b/>
                      <w:bCs/>
                      <w:szCs w:val="21"/>
                    </w:rPr>
                  </w:pPr>
                  <w:r>
                    <w:rPr>
                      <w:b/>
                      <w:bCs/>
                      <w:szCs w:val="21"/>
                    </w:rPr>
                    <w:t>污染物</w:t>
                  </w:r>
                  <w:r>
                    <w:rPr>
                      <w:rFonts w:hint="eastAsia"/>
                      <w:b/>
                      <w:bCs/>
                      <w:szCs w:val="21"/>
                    </w:rPr>
                    <w:t>排放</w:t>
                  </w:r>
                  <w:r>
                    <w:rPr>
                      <w:b/>
                      <w:bCs/>
                      <w:szCs w:val="21"/>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352" w:hRule="atLeast"/>
              </w:trPr>
              <w:tc>
                <w:tcPr>
                  <w:tcW w:w="745" w:type="dxa"/>
                  <w:vMerge w:val="restart"/>
                  <w:vAlign w:val="center"/>
                </w:tcPr>
                <w:p>
                  <w:pPr>
                    <w:contextualSpacing/>
                    <w:jc w:val="center"/>
                    <w:rPr>
                      <w:szCs w:val="21"/>
                    </w:rPr>
                  </w:pPr>
                  <w:r>
                    <w:rPr>
                      <w:szCs w:val="21"/>
                    </w:rPr>
                    <w:t>废气</w:t>
                  </w:r>
                </w:p>
              </w:tc>
              <w:tc>
                <w:tcPr>
                  <w:tcW w:w="2712" w:type="dxa"/>
                  <w:vMerge w:val="restart"/>
                  <w:vAlign w:val="center"/>
                </w:tcPr>
                <w:p>
                  <w:pPr>
                    <w:pStyle w:val="10"/>
                    <w:ind w:firstLine="0"/>
                    <w:contextualSpacing/>
                    <w:jc w:val="center"/>
                    <w:rPr>
                      <w:szCs w:val="21"/>
                    </w:rPr>
                  </w:pPr>
                  <w:r>
                    <w:rPr>
                      <w:szCs w:val="21"/>
                    </w:rPr>
                    <w:t>《大气污染物综合排放标准》</w:t>
                  </w:r>
                  <w:r>
                    <w:rPr>
                      <w:rFonts w:hint="eastAsia"/>
                      <w:szCs w:val="21"/>
                    </w:rPr>
                    <w:t>（</w:t>
                  </w:r>
                  <w:r>
                    <w:rPr>
                      <w:szCs w:val="21"/>
                    </w:rPr>
                    <w:t>GB16297-1996</w:t>
                  </w:r>
                  <w:r>
                    <w:rPr>
                      <w:rFonts w:hint="eastAsia"/>
                      <w:szCs w:val="21"/>
                    </w:rPr>
                    <w:t>）</w:t>
                  </w:r>
                </w:p>
              </w:tc>
              <w:tc>
                <w:tcPr>
                  <w:tcW w:w="1106" w:type="dxa"/>
                  <w:vMerge w:val="restart"/>
                  <w:vAlign w:val="center"/>
                </w:tcPr>
                <w:p>
                  <w:pPr>
                    <w:contextualSpacing/>
                    <w:jc w:val="center"/>
                    <w:rPr>
                      <w:szCs w:val="21"/>
                    </w:rPr>
                  </w:pPr>
                  <w:r>
                    <w:rPr>
                      <w:szCs w:val="21"/>
                    </w:rPr>
                    <w:t>表2</w:t>
                  </w:r>
                </w:p>
                <w:p>
                  <w:pPr>
                    <w:contextualSpacing/>
                    <w:jc w:val="center"/>
                    <w:rPr>
                      <w:szCs w:val="21"/>
                    </w:rPr>
                  </w:pPr>
                  <w:r>
                    <w:rPr>
                      <w:szCs w:val="21"/>
                    </w:rPr>
                    <w:t>二级</w:t>
                  </w:r>
                </w:p>
              </w:tc>
              <w:tc>
                <w:tcPr>
                  <w:tcW w:w="1190" w:type="dxa"/>
                  <w:vMerge w:val="restart"/>
                  <w:vAlign w:val="center"/>
                </w:tcPr>
                <w:p>
                  <w:pPr>
                    <w:contextualSpacing/>
                    <w:jc w:val="center"/>
                    <w:rPr>
                      <w:szCs w:val="21"/>
                    </w:rPr>
                  </w:pPr>
                  <w:r>
                    <w:rPr>
                      <w:szCs w:val="21"/>
                    </w:rPr>
                    <w:t>颗粒物</w:t>
                  </w:r>
                </w:p>
              </w:tc>
              <w:tc>
                <w:tcPr>
                  <w:tcW w:w="2152" w:type="dxa"/>
                  <w:vAlign w:val="center"/>
                </w:tcPr>
                <w:p>
                  <w:pPr>
                    <w:contextualSpacing/>
                    <w:jc w:val="center"/>
                    <w:rPr>
                      <w:szCs w:val="21"/>
                    </w:rPr>
                  </w:pPr>
                  <w:r>
                    <w:rPr>
                      <w:szCs w:val="21"/>
                    </w:rPr>
                    <w:t>120mg/m</w:t>
                  </w:r>
                  <w:r>
                    <w:rPr>
                      <w:szCs w:val="21"/>
                      <w:vertAlign w:val="superscript"/>
                    </w:rPr>
                    <w:t>3</w:t>
                  </w:r>
                </w:p>
              </w:tc>
            </w:tr>
            <w:tr>
              <w:tblPrEx>
                <w:tblLayout w:type="fixed"/>
                <w:tblCellMar>
                  <w:top w:w="28" w:type="dxa"/>
                  <w:left w:w="108" w:type="dxa"/>
                  <w:bottom w:w="28" w:type="dxa"/>
                  <w:right w:w="108" w:type="dxa"/>
                </w:tblCellMar>
              </w:tblPrEx>
              <w:trPr>
                <w:cantSplit/>
                <w:trHeight w:val="90" w:hRule="atLeast"/>
              </w:trPr>
              <w:tc>
                <w:tcPr>
                  <w:tcW w:w="745" w:type="dxa"/>
                  <w:vMerge w:val="continue"/>
                  <w:vAlign w:val="center"/>
                </w:tcPr>
                <w:p>
                  <w:pPr>
                    <w:contextualSpacing/>
                    <w:jc w:val="left"/>
                  </w:pPr>
                </w:p>
              </w:tc>
              <w:tc>
                <w:tcPr>
                  <w:tcW w:w="2712" w:type="dxa"/>
                  <w:vMerge w:val="continue"/>
                  <w:vAlign w:val="center"/>
                </w:tcPr>
                <w:p>
                  <w:pPr>
                    <w:contextualSpacing/>
                    <w:jc w:val="left"/>
                  </w:pPr>
                </w:p>
              </w:tc>
              <w:tc>
                <w:tcPr>
                  <w:tcW w:w="1106" w:type="dxa"/>
                  <w:vMerge w:val="continue"/>
                  <w:vAlign w:val="center"/>
                </w:tcPr>
                <w:p>
                  <w:pPr>
                    <w:contextualSpacing/>
                    <w:jc w:val="left"/>
                  </w:pPr>
                </w:p>
              </w:tc>
              <w:tc>
                <w:tcPr>
                  <w:tcW w:w="1190" w:type="dxa"/>
                  <w:vMerge w:val="continue"/>
                  <w:vAlign w:val="center"/>
                </w:tcPr>
                <w:p>
                  <w:pPr>
                    <w:contextualSpacing/>
                    <w:jc w:val="center"/>
                  </w:pPr>
                </w:p>
              </w:tc>
              <w:tc>
                <w:tcPr>
                  <w:tcW w:w="2152" w:type="dxa"/>
                  <w:vAlign w:val="center"/>
                </w:tcPr>
                <w:p>
                  <w:pPr>
                    <w:contextualSpacing/>
                    <w:jc w:val="center"/>
                    <w:rPr>
                      <w:szCs w:val="21"/>
                    </w:rPr>
                  </w:pPr>
                  <w:r>
                    <w:rPr>
                      <w:rFonts w:hint="eastAsia"/>
                      <w:szCs w:val="21"/>
                    </w:rPr>
                    <w:t>15</w:t>
                  </w:r>
                  <w:r>
                    <w:rPr>
                      <w:szCs w:val="21"/>
                    </w:rPr>
                    <w:t>m高排气筒，</w:t>
                  </w:r>
                </w:p>
                <w:p>
                  <w:pPr>
                    <w:contextualSpacing/>
                    <w:jc w:val="center"/>
                    <w:rPr>
                      <w:szCs w:val="21"/>
                    </w:rPr>
                  </w:pPr>
                  <w:r>
                    <w:rPr>
                      <w:szCs w:val="21"/>
                    </w:rPr>
                    <w:t>排放速率</w:t>
                  </w:r>
                  <w:r>
                    <w:rPr>
                      <w:rFonts w:hint="eastAsia"/>
                      <w:szCs w:val="21"/>
                    </w:rPr>
                    <w:t>3.5</w:t>
                  </w:r>
                  <w:r>
                    <w:rPr>
                      <w:szCs w:val="21"/>
                    </w:rPr>
                    <w:t>kg/h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592" w:hRule="atLeast"/>
              </w:trPr>
              <w:tc>
                <w:tcPr>
                  <w:tcW w:w="745" w:type="dxa"/>
                  <w:vMerge w:val="continue"/>
                  <w:vAlign w:val="center"/>
                </w:tcPr>
                <w:p>
                  <w:pPr>
                    <w:contextualSpacing/>
                    <w:jc w:val="center"/>
                    <w:rPr>
                      <w:szCs w:val="21"/>
                    </w:rPr>
                  </w:pPr>
                </w:p>
              </w:tc>
              <w:tc>
                <w:tcPr>
                  <w:tcW w:w="2712" w:type="dxa"/>
                  <w:vMerge w:val="continue"/>
                  <w:vAlign w:val="center"/>
                </w:tcPr>
                <w:p>
                  <w:pPr>
                    <w:pStyle w:val="10"/>
                    <w:ind w:firstLine="0"/>
                    <w:contextualSpacing/>
                    <w:jc w:val="center"/>
                    <w:rPr>
                      <w:szCs w:val="21"/>
                    </w:rPr>
                  </w:pPr>
                </w:p>
              </w:tc>
              <w:tc>
                <w:tcPr>
                  <w:tcW w:w="1106" w:type="dxa"/>
                  <w:vAlign w:val="center"/>
                </w:tcPr>
                <w:p>
                  <w:pPr>
                    <w:pStyle w:val="10"/>
                    <w:ind w:firstLine="0"/>
                    <w:contextualSpacing/>
                    <w:jc w:val="center"/>
                    <w:rPr>
                      <w:szCs w:val="21"/>
                    </w:rPr>
                  </w:pPr>
                  <w:r>
                    <w:rPr>
                      <w:szCs w:val="21"/>
                    </w:rPr>
                    <w:t>表2无组织排放监控浓度</w:t>
                  </w:r>
                </w:p>
              </w:tc>
              <w:tc>
                <w:tcPr>
                  <w:tcW w:w="1190" w:type="dxa"/>
                  <w:vAlign w:val="center"/>
                </w:tcPr>
                <w:p>
                  <w:pPr>
                    <w:contextualSpacing/>
                    <w:jc w:val="center"/>
                    <w:rPr>
                      <w:szCs w:val="21"/>
                    </w:rPr>
                  </w:pPr>
                  <w:r>
                    <w:rPr>
                      <w:szCs w:val="21"/>
                    </w:rPr>
                    <w:t>颗粒物</w:t>
                  </w:r>
                </w:p>
              </w:tc>
              <w:tc>
                <w:tcPr>
                  <w:tcW w:w="2152" w:type="dxa"/>
                  <w:vAlign w:val="center"/>
                </w:tcPr>
                <w:p>
                  <w:pPr>
                    <w:contextualSpacing/>
                    <w:jc w:val="center"/>
                    <w:rPr>
                      <w:szCs w:val="21"/>
                    </w:rPr>
                  </w:pPr>
                  <w:r>
                    <w:rPr>
                      <w:szCs w:val="21"/>
                    </w:rPr>
                    <w:t>周界外浓度最高点：1.0mg/m</w:t>
                  </w:r>
                  <w:r>
                    <w:rPr>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375" w:hRule="atLeast"/>
              </w:trPr>
              <w:tc>
                <w:tcPr>
                  <w:tcW w:w="745" w:type="dxa"/>
                  <w:vMerge w:val="continue"/>
                  <w:vAlign w:val="center"/>
                </w:tcPr>
                <w:p>
                  <w:pPr>
                    <w:contextualSpacing/>
                    <w:jc w:val="center"/>
                    <w:rPr>
                      <w:szCs w:val="21"/>
                    </w:rPr>
                  </w:pPr>
                </w:p>
              </w:tc>
              <w:tc>
                <w:tcPr>
                  <w:tcW w:w="2712" w:type="dxa"/>
                  <w:vMerge w:val="restart"/>
                  <w:vAlign w:val="center"/>
                </w:tcPr>
                <w:p>
                  <w:pPr>
                    <w:pStyle w:val="10"/>
                    <w:ind w:firstLine="0"/>
                    <w:jc w:val="center"/>
                    <w:rPr>
                      <w:szCs w:val="21"/>
                    </w:rPr>
                  </w:pPr>
                  <w:bookmarkStart w:id="3" w:name="OLE_LINK1"/>
                  <w:r>
                    <w:rPr>
                      <w:szCs w:val="21"/>
                    </w:rPr>
                    <w:t>《工业炉窑大气污染物排放标准》</w:t>
                  </w:r>
                  <w:r>
                    <w:rPr>
                      <w:rFonts w:hint="eastAsia"/>
                      <w:szCs w:val="21"/>
                    </w:rPr>
                    <w:t>（</w:t>
                  </w:r>
                  <w:r>
                    <w:rPr>
                      <w:szCs w:val="21"/>
                    </w:rPr>
                    <w:t>DB41/1066-</w:t>
                  </w:r>
                  <w:r>
                    <w:rPr>
                      <w:rFonts w:hint="eastAsia"/>
                      <w:szCs w:val="21"/>
                    </w:rPr>
                    <w:t>2020）</w:t>
                  </w:r>
                  <w:bookmarkEnd w:id="3"/>
                </w:p>
              </w:tc>
              <w:tc>
                <w:tcPr>
                  <w:tcW w:w="1106" w:type="dxa"/>
                  <w:vMerge w:val="restart"/>
                  <w:vAlign w:val="center"/>
                </w:tcPr>
                <w:p>
                  <w:pPr>
                    <w:jc w:val="center"/>
                    <w:rPr>
                      <w:szCs w:val="21"/>
                    </w:rPr>
                  </w:pPr>
                  <w:r>
                    <w:rPr>
                      <w:szCs w:val="21"/>
                    </w:rPr>
                    <w:t>表1</w:t>
                  </w:r>
                </w:p>
                <w:p>
                  <w:pPr>
                    <w:jc w:val="center"/>
                    <w:rPr>
                      <w:szCs w:val="21"/>
                    </w:rPr>
                  </w:pPr>
                  <w:r>
                    <w:rPr>
                      <w:rFonts w:hint="eastAsia"/>
                      <w:szCs w:val="21"/>
                    </w:rPr>
                    <w:t>陶粒工业干燥及焙烧窑</w:t>
                  </w:r>
                </w:p>
              </w:tc>
              <w:tc>
                <w:tcPr>
                  <w:tcW w:w="1190" w:type="dxa"/>
                  <w:vAlign w:val="center"/>
                </w:tcPr>
                <w:p>
                  <w:pPr>
                    <w:jc w:val="center"/>
                    <w:rPr>
                      <w:szCs w:val="21"/>
                    </w:rPr>
                  </w:pPr>
                  <w:r>
                    <w:rPr>
                      <w:szCs w:val="21"/>
                    </w:rPr>
                    <w:t>颗粒物</w:t>
                  </w:r>
                </w:p>
              </w:tc>
              <w:tc>
                <w:tcPr>
                  <w:tcW w:w="2152" w:type="dxa"/>
                  <w:vAlign w:val="center"/>
                </w:tcPr>
                <w:p>
                  <w:pPr>
                    <w:jc w:val="center"/>
                    <w:rPr>
                      <w:szCs w:val="21"/>
                    </w:rPr>
                  </w:pPr>
                  <w:r>
                    <w:rPr>
                      <w:rFonts w:hint="eastAsia"/>
                      <w:szCs w:val="21"/>
                    </w:rPr>
                    <w:t>10</w:t>
                  </w:r>
                  <w:r>
                    <w:rPr>
                      <w:szCs w:val="21"/>
                    </w:rPr>
                    <w:t>mg/m</w:t>
                  </w:r>
                  <w:r>
                    <w:rPr>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351" w:hRule="atLeast"/>
              </w:trPr>
              <w:tc>
                <w:tcPr>
                  <w:tcW w:w="745" w:type="dxa"/>
                  <w:vMerge w:val="continue"/>
                  <w:vAlign w:val="center"/>
                </w:tcPr>
                <w:p>
                  <w:pPr>
                    <w:jc w:val="left"/>
                  </w:pPr>
                </w:p>
              </w:tc>
              <w:tc>
                <w:tcPr>
                  <w:tcW w:w="2712" w:type="dxa"/>
                  <w:vMerge w:val="continue"/>
                  <w:vAlign w:val="center"/>
                </w:tcPr>
                <w:p>
                  <w:pPr>
                    <w:jc w:val="left"/>
                  </w:pPr>
                </w:p>
              </w:tc>
              <w:tc>
                <w:tcPr>
                  <w:tcW w:w="1106" w:type="dxa"/>
                  <w:vMerge w:val="continue"/>
                  <w:vAlign w:val="center"/>
                </w:tcPr>
                <w:p>
                  <w:pPr>
                    <w:jc w:val="left"/>
                  </w:pPr>
                </w:p>
              </w:tc>
              <w:tc>
                <w:tcPr>
                  <w:tcW w:w="1190" w:type="dxa"/>
                  <w:vAlign w:val="center"/>
                </w:tcPr>
                <w:p>
                  <w:pPr>
                    <w:jc w:val="center"/>
                    <w:rPr>
                      <w:szCs w:val="21"/>
                    </w:rPr>
                  </w:pPr>
                  <w:r>
                    <w:rPr>
                      <w:szCs w:val="21"/>
                    </w:rPr>
                    <w:t>SO</w:t>
                  </w:r>
                  <w:r>
                    <w:rPr>
                      <w:szCs w:val="21"/>
                      <w:vertAlign w:val="subscript"/>
                    </w:rPr>
                    <w:t>2</w:t>
                  </w:r>
                </w:p>
              </w:tc>
              <w:tc>
                <w:tcPr>
                  <w:tcW w:w="2152" w:type="dxa"/>
                  <w:vAlign w:val="center"/>
                </w:tcPr>
                <w:p>
                  <w:pPr>
                    <w:jc w:val="center"/>
                    <w:rPr>
                      <w:szCs w:val="21"/>
                    </w:rPr>
                  </w:pPr>
                  <w:r>
                    <w:rPr>
                      <w:rFonts w:hint="eastAsia"/>
                      <w:szCs w:val="21"/>
                    </w:rPr>
                    <w:t>50</w:t>
                  </w:r>
                  <w:r>
                    <w:rPr>
                      <w:szCs w:val="21"/>
                    </w:rPr>
                    <w:t>mg/m</w:t>
                  </w:r>
                  <w:r>
                    <w:rPr>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375" w:hRule="atLeast"/>
              </w:trPr>
              <w:tc>
                <w:tcPr>
                  <w:tcW w:w="745" w:type="dxa"/>
                  <w:vMerge w:val="continue"/>
                  <w:vAlign w:val="center"/>
                </w:tcPr>
                <w:p>
                  <w:pPr>
                    <w:jc w:val="left"/>
                    <w:rPr>
                      <w:szCs w:val="21"/>
                    </w:rPr>
                  </w:pPr>
                </w:p>
              </w:tc>
              <w:tc>
                <w:tcPr>
                  <w:tcW w:w="2712" w:type="dxa"/>
                  <w:vMerge w:val="continue"/>
                  <w:vAlign w:val="center"/>
                </w:tcPr>
                <w:p>
                  <w:pPr>
                    <w:jc w:val="left"/>
                    <w:rPr>
                      <w:szCs w:val="21"/>
                    </w:rPr>
                  </w:pPr>
                </w:p>
              </w:tc>
              <w:tc>
                <w:tcPr>
                  <w:tcW w:w="1106" w:type="dxa"/>
                  <w:vMerge w:val="continue"/>
                  <w:vAlign w:val="center"/>
                </w:tcPr>
                <w:p>
                  <w:pPr>
                    <w:jc w:val="left"/>
                    <w:rPr>
                      <w:szCs w:val="21"/>
                    </w:rPr>
                  </w:pPr>
                </w:p>
              </w:tc>
              <w:tc>
                <w:tcPr>
                  <w:tcW w:w="1190" w:type="dxa"/>
                  <w:vAlign w:val="center"/>
                </w:tcPr>
                <w:p>
                  <w:pPr>
                    <w:jc w:val="center"/>
                    <w:rPr>
                      <w:szCs w:val="21"/>
                    </w:rPr>
                  </w:pPr>
                  <w:r>
                    <w:rPr>
                      <w:szCs w:val="21"/>
                    </w:rPr>
                    <w:t>NOx</w:t>
                  </w:r>
                </w:p>
              </w:tc>
              <w:tc>
                <w:tcPr>
                  <w:tcW w:w="2152" w:type="dxa"/>
                  <w:vAlign w:val="center"/>
                </w:tcPr>
                <w:p>
                  <w:pPr>
                    <w:jc w:val="center"/>
                    <w:rPr>
                      <w:szCs w:val="21"/>
                    </w:rPr>
                  </w:pPr>
                  <w:r>
                    <w:rPr>
                      <w:rFonts w:hint="eastAsia"/>
                      <w:szCs w:val="21"/>
                    </w:rPr>
                    <w:t>1</w:t>
                  </w:r>
                  <w:r>
                    <w:rPr>
                      <w:szCs w:val="21"/>
                    </w:rPr>
                    <w:t>00mg/m</w:t>
                  </w:r>
                  <w:r>
                    <w:rPr>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239" w:hRule="atLeast"/>
              </w:trPr>
              <w:tc>
                <w:tcPr>
                  <w:tcW w:w="745" w:type="dxa"/>
                  <w:vMerge w:val="continue"/>
                  <w:vAlign w:val="center"/>
                </w:tcPr>
                <w:p>
                  <w:pPr>
                    <w:contextualSpacing/>
                    <w:jc w:val="center"/>
                    <w:rPr>
                      <w:szCs w:val="21"/>
                    </w:rPr>
                  </w:pPr>
                </w:p>
              </w:tc>
              <w:tc>
                <w:tcPr>
                  <w:tcW w:w="2712" w:type="dxa"/>
                  <w:vMerge w:val="restart"/>
                  <w:vAlign w:val="center"/>
                </w:tcPr>
                <w:p>
                  <w:pPr>
                    <w:contextualSpacing/>
                    <w:jc w:val="center"/>
                    <w:rPr>
                      <w:szCs w:val="21"/>
                    </w:rPr>
                  </w:pPr>
                  <w:r>
                    <w:rPr>
                      <w:szCs w:val="21"/>
                    </w:rPr>
                    <w:t>《餐饮业油烟污染物排放标准》</w:t>
                  </w:r>
                  <w:r>
                    <w:rPr>
                      <w:rFonts w:hint="eastAsia"/>
                      <w:szCs w:val="21"/>
                    </w:rPr>
                    <w:t>（</w:t>
                  </w:r>
                  <w:r>
                    <w:rPr>
                      <w:szCs w:val="21"/>
                    </w:rPr>
                    <w:t>DB41/1604-2018</w:t>
                  </w:r>
                  <w:r>
                    <w:rPr>
                      <w:rFonts w:hint="eastAsia"/>
                      <w:szCs w:val="21"/>
                    </w:rPr>
                    <w:t>）</w:t>
                  </w:r>
                </w:p>
              </w:tc>
              <w:tc>
                <w:tcPr>
                  <w:tcW w:w="1106" w:type="dxa"/>
                  <w:vMerge w:val="restart"/>
                  <w:vAlign w:val="center"/>
                </w:tcPr>
                <w:p>
                  <w:pPr>
                    <w:contextualSpacing/>
                    <w:jc w:val="center"/>
                    <w:rPr>
                      <w:szCs w:val="21"/>
                    </w:rPr>
                  </w:pPr>
                  <w:r>
                    <w:rPr>
                      <w:szCs w:val="21"/>
                    </w:rPr>
                    <w:t>/</w:t>
                  </w:r>
                </w:p>
              </w:tc>
              <w:tc>
                <w:tcPr>
                  <w:tcW w:w="1190" w:type="dxa"/>
                  <w:vMerge w:val="restart"/>
                  <w:vAlign w:val="center"/>
                </w:tcPr>
                <w:p>
                  <w:pPr>
                    <w:contextualSpacing/>
                    <w:jc w:val="center"/>
                    <w:rPr>
                      <w:szCs w:val="21"/>
                    </w:rPr>
                  </w:pPr>
                  <w:r>
                    <w:rPr>
                      <w:szCs w:val="21"/>
                    </w:rPr>
                    <w:t>油烟</w:t>
                  </w:r>
                </w:p>
                <w:p>
                  <w:pPr>
                    <w:contextualSpacing/>
                    <w:jc w:val="center"/>
                    <w:rPr>
                      <w:szCs w:val="21"/>
                    </w:rPr>
                  </w:pPr>
                  <w:r>
                    <w:rPr>
                      <w:rFonts w:hint="eastAsia"/>
                      <w:szCs w:val="21"/>
                    </w:rPr>
                    <w:t>小型</w:t>
                  </w:r>
                </w:p>
              </w:tc>
              <w:tc>
                <w:tcPr>
                  <w:tcW w:w="2152" w:type="dxa"/>
                  <w:vAlign w:val="center"/>
                </w:tcPr>
                <w:p>
                  <w:pPr>
                    <w:contextualSpacing/>
                    <w:jc w:val="center"/>
                    <w:rPr>
                      <w:szCs w:val="21"/>
                    </w:rPr>
                  </w:pPr>
                  <w:r>
                    <w:rPr>
                      <w:szCs w:val="21"/>
                    </w:rPr>
                    <w:t>1.0mg/m</w:t>
                  </w:r>
                  <w:r>
                    <w:rPr>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90" w:hRule="atLeast"/>
              </w:trPr>
              <w:tc>
                <w:tcPr>
                  <w:tcW w:w="745" w:type="dxa"/>
                  <w:vMerge w:val="continue"/>
                  <w:vAlign w:val="center"/>
                </w:tcPr>
                <w:p>
                  <w:pPr>
                    <w:contextualSpacing/>
                    <w:jc w:val="center"/>
                    <w:rPr>
                      <w:szCs w:val="21"/>
                    </w:rPr>
                  </w:pPr>
                </w:p>
              </w:tc>
              <w:tc>
                <w:tcPr>
                  <w:tcW w:w="2712" w:type="dxa"/>
                  <w:vMerge w:val="continue"/>
                  <w:vAlign w:val="center"/>
                </w:tcPr>
                <w:p>
                  <w:pPr>
                    <w:contextualSpacing/>
                    <w:jc w:val="center"/>
                    <w:rPr>
                      <w:szCs w:val="21"/>
                    </w:rPr>
                  </w:pPr>
                </w:p>
              </w:tc>
              <w:tc>
                <w:tcPr>
                  <w:tcW w:w="1106" w:type="dxa"/>
                  <w:vMerge w:val="continue"/>
                  <w:vAlign w:val="center"/>
                </w:tcPr>
                <w:p>
                  <w:pPr>
                    <w:contextualSpacing/>
                    <w:jc w:val="center"/>
                    <w:rPr>
                      <w:szCs w:val="21"/>
                    </w:rPr>
                  </w:pPr>
                </w:p>
              </w:tc>
              <w:tc>
                <w:tcPr>
                  <w:tcW w:w="1190" w:type="dxa"/>
                  <w:vMerge w:val="continue"/>
                  <w:vAlign w:val="center"/>
                </w:tcPr>
                <w:p>
                  <w:pPr>
                    <w:contextualSpacing/>
                    <w:jc w:val="center"/>
                    <w:rPr>
                      <w:szCs w:val="21"/>
                    </w:rPr>
                  </w:pPr>
                </w:p>
              </w:tc>
              <w:tc>
                <w:tcPr>
                  <w:tcW w:w="2152" w:type="dxa"/>
                  <w:vAlign w:val="center"/>
                </w:tcPr>
                <w:p>
                  <w:pPr>
                    <w:contextualSpacing/>
                    <w:jc w:val="center"/>
                    <w:rPr>
                      <w:szCs w:val="21"/>
                    </w:rPr>
                  </w:pPr>
                  <w:r>
                    <w:rPr>
                      <w:szCs w:val="21"/>
                    </w:rPr>
                    <w:t>除效率不小于90%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90" w:hRule="atLeast"/>
              </w:trPr>
              <w:tc>
                <w:tcPr>
                  <w:tcW w:w="745" w:type="dxa"/>
                  <w:vMerge w:val="restart"/>
                  <w:vAlign w:val="center"/>
                </w:tcPr>
                <w:p>
                  <w:pPr>
                    <w:contextualSpacing/>
                    <w:jc w:val="center"/>
                    <w:rPr>
                      <w:szCs w:val="21"/>
                    </w:rPr>
                  </w:pPr>
                  <w:r>
                    <w:rPr>
                      <w:szCs w:val="21"/>
                    </w:rPr>
                    <w:t>噪声</w:t>
                  </w:r>
                </w:p>
              </w:tc>
              <w:tc>
                <w:tcPr>
                  <w:tcW w:w="2712" w:type="dxa"/>
                  <w:vMerge w:val="restart"/>
                  <w:vAlign w:val="center"/>
                </w:tcPr>
                <w:p>
                  <w:pPr>
                    <w:contextualSpacing/>
                    <w:jc w:val="center"/>
                    <w:rPr>
                      <w:szCs w:val="21"/>
                    </w:rPr>
                  </w:pPr>
                  <w:r>
                    <w:rPr>
                      <w:szCs w:val="21"/>
                    </w:rPr>
                    <w:t>《建筑施工场界环境噪声排放标准》</w:t>
                  </w:r>
                  <w:r>
                    <w:rPr>
                      <w:rFonts w:hint="eastAsia"/>
                      <w:szCs w:val="21"/>
                    </w:rPr>
                    <w:t>（</w:t>
                  </w:r>
                  <w:r>
                    <w:rPr>
                      <w:szCs w:val="21"/>
                    </w:rPr>
                    <w:t>GB12523-2011</w:t>
                  </w:r>
                  <w:r>
                    <w:rPr>
                      <w:rFonts w:hint="eastAsia"/>
                      <w:szCs w:val="21"/>
                    </w:rPr>
                    <w:t>）</w:t>
                  </w:r>
                </w:p>
              </w:tc>
              <w:tc>
                <w:tcPr>
                  <w:tcW w:w="1106" w:type="dxa"/>
                  <w:vMerge w:val="restart"/>
                  <w:vAlign w:val="center"/>
                </w:tcPr>
                <w:p>
                  <w:pPr>
                    <w:contextualSpacing/>
                    <w:jc w:val="center"/>
                    <w:rPr>
                      <w:szCs w:val="21"/>
                    </w:rPr>
                  </w:pPr>
                  <w:r>
                    <w:rPr>
                      <w:rFonts w:hint="eastAsia"/>
                      <w:szCs w:val="21"/>
                    </w:rPr>
                    <w:t>/</w:t>
                  </w:r>
                </w:p>
              </w:tc>
              <w:tc>
                <w:tcPr>
                  <w:tcW w:w="1190" w:type="dxa"/>
                  <w:vAlign w:val="center"/>
                </w:tcPr>
                <w:p>
                  <w:pPr>
                    <w:contextualSpacing/>
                    <w:jc w:val="center"/>
                    <w:rPr>
                      <w:szCs w:val="21"/>
                    </w:rPr>
                  </w:pPr>
                  <w:r>
                    <w:rPr>
                      <w:szCs w:val="21"/>
                    </w:rPr>
                    <w:t>昼间</w:t>
                  </w:r>
                </w:p>
              </w:tc>
              <w:tc>
                <w:tcPr>
                  <w:tcW w:w="2152" w:type="dxa"/>
                  <w:vAlign w:val="center"/>
                </w:tcPr>
                <w:p>
                  <w:pPr>
                    <w:contextualSpacing/>
                    <w:jc w:val="center"/>
                    <w:rPr>
                      <w:szCs w:val="21"/>
                    </w:rPr>
                  </w:pPr>
                  <w:r>
                    <w:rPr>
                      <w:szCs w:val="21"/>
                    </w:rPr>
                    <w:t>70dB(A)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90" w:hRule="atLeast"/>
              </w:trPr>
              <w:tc>
                <w:tcPr>
                  <w:tcW w:w="745" w:type="dxa"/>
                  <w:vMerge w:val="continue"/>
                  <w:vAlign w:val="center"/>
                </w:tcPr>
                <w:p>
                  <w:pPr>
                    <w:contextualSpacing/>
                    <w:jc w:val="center"/>
                    <w:rPr>
                      <w:szCs w:val="21"/>
                    </w:rPr>
                  </w:pPr>
                </w:p>
              </w:tc>
              <w:tc>
                <w:tcPr>
                  <w:tcW w:w="2712" w:type="dxa"/>
                  <w:vMerge w:val="continue"/>
                  <w:vAlign w:val="center"/>
                </w:tcPr>
                <w:p>
                  <w:pPr>
                    <w:contextualSpacing/>
                    <w:jc w:val="center"/>
                    <w:rPr>
                      <w:szCs w:val="21"/>
                    </w:rPr>
                  </w:pPr>
                </w:p>
              </w:tc>
              <w:tc>
                <w:tcPr>
                  <w:tcW w:w="1106" w:type="dxa"/>
                  <w:vMerge w:val="continue"/>
                  <w:vAlign w:val="center"/>
                </w:tcPr>
                <w:p>
                  <w:pPr>
                    <w:contextualSpacing/>
                    <w:jc w:val="center"/>
                    <w:rPr>
                      <w:szCs w:val="21"/>
                    </w:rPr>
                  </w:pPr>
                </w:p>
              </w:tc>
              <w:tc>
                <w:tcPr>
                  <w:tcW w:w="1190" w:type="dxa"/>
                  <w:vAlign w:val="center"/>
                </w:tcPr>
                <w:p>
                  <w:pPr>
                    <w:contextualSpacing/>
                    <w:jc w:val="center"/>
                    <w:rPr>
                      <w:szCs w:val="21"/>
                    </w:rPr>
                  </w:pPr>
                  <w:r>
                    <w:rPr>
                      <w:szCs w:val="21"/>
                    </w:rPr>
                    <w:t>夜间</w:t>
                  </w:r>
                </w:p>
              </w:tc>
              <w:tc>
                <w:tcPr>
                  <w:tcW w:w="2152" w:type="dxa"/>
                  <w:vAlign w:val="center"/>
                </w:tcPr>
                <w:p>
                  <w:pPr>
                    <w:contextualSpacing/>
                    <w:jc w:val="center"/>
                    <w:rPr>
                      <w:szCs w:val="21"/>
                    </w:rPr>
                  </w:pPr>
                  <w:r>
                    <w:rPr>
                      <w:szCs w:val="21"/>
                    </w:rPr>
                    <w:t>55dB(A)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90" w:hRule="atLeast"/>
              </w:trPr>
              <w:tc>
                <w:tcPr>
                  <w:tcW w:w="745" w:type="dxa"/>
                  <w:vMerge w:val="continue"/>
                  <w:vAlign w:val="center"/>
                </w:tcPr>
                <w:p>
                  <w:pPr>
                    <w:contextualSpacing/>
                    <w:jc w:val="center"/>
                    <w:rPr>
                      <w:szCs w:val="21"/>
                    </w:rPr>
                  </w:pPr>
                </w:p>
              </w:tc>
              <w:tc>
                <w:tcPr>
                  <w:tcW w:w="2712" w:type="dxa"/>
                  <w:vMerge w:val="restart"/>
                  <w:vAlign w:val="center"/>
                </w:tcPr>
                <w:p>
                  <w:pPr>
                    <w:contextualSpacing/>
                    <w:jc w:val="center"/>
                    <w:rPr>
                      <w:szCs w:val="21"/>
                    </w:rPr>
                  </w:pPr>
                  <w:r>
                    <w:rPr>
                      <w:szCs w:val="21"/>
                    </w:rPr>
                    <w:t>《工业企业厂界环境噪声排放标准》</w:t>
                  </w:r>
                  <w:r>
                    <w:rPr>
                      <w:rFonts w:hint="eastAsia"/>
                      <w:szCs w:val="21"/>
                    </w:rPr>
                    <w:t>（</w:t>
                  </w:r>
                  <w:r>
                    <w:rPr>
                      <w:szCs w:val="21"/>
                    </w:rPr>
                    <w:t>GB12348-2008</w:t>
                  </w:r>
                  <w:r>
                    <w:rPr>
                      <w:rFonts w:hint="eastAsia"/>
                      <w:szCs w:val="21"/>
                    </w:rPr>
                    <w:t>）</w:t>
                  </w:r>
                </w:p>
              </w:tc>
              <w:tc>
                <w:tcPr>
                  <w:tcW w:w="1106" w:type="dxa"/>
                  <w:vMerge w:val="restart"/>
                  <w:vAlign w:val="center"/>
                </w:tcPr>
                <w:p>
                  <w:pPr>
                    <w:contextualSpacing/>
                    <w:jc w:val="center"/>
                    <w:rPr>
                      <w:szCs w:val="21"/>
                    </w:rPr>
                  </w:pPr>
                  <w:r>
                    <w:rPr>
                      <w:rFonts w:hint="eastAsia"/>
                      <w:szCs w:val="21"/>
                    </w:rPr>
                    <w:t>3</w:t>
                  </w:r>
                  <w:r>
                    <w:rPr>
                      <w:szCs w:val="21"/>
                    </w:rPr>
                    <w:t>类</w:t>
                  </w:r>
                </w:p>
              </w:tc>
              <w:tc>
                <w:tcPr>
                  <w:tcW w:w="1190" w:type="dxa"/>
                  <w:vAlign w:val="center"/>
                </w:tcPr>
                <w:p>
                  <w:pPr>
                    <w:contextualSpacing/>
                    <w:jc w:val="center"/>
                    <w:rPr>
                      <w:szCs w:val="21"/>
                    </w:rPr>
                  </w:pPr>
                  <w:r>
                    <w:rPr>
                      <w:szCs w:val="21"/>
                    </w:rPr>
                    <w:t>昼间</w:t>
                  </w:r>
                </w:p>
              </w:tc>
              <w:tc>
                <w:tcPr>
                  <w:tcW w:w="2152" w:type="dxa"/>
                  <w:vAlign w:val="center"/>
                </w:tcPr>
                <w:p>
                  <w:pPr>
                    <w:contextualSpacing/>
                    <w:jc w:val="center"/>
                    <w:rPr>
                      <w:szCs w:val="21"/>
                    </w:rPr>
                  </w:pPr>
                  <w:r>
                    <w:rPr>
                      <w:rFonts w:hint="eastAsia"/>
                      <w:szCs w:val="21"/>
                    </w:rPr>
                    <w:t>65</w:t>
                  </w:r>
                  <w:r>
                    <w:rPr>
                      <w:szCs w:val="21"/>
                    </w:rPr>
                    <w:t>dB(A)</w:t>
                  </w:r>
                </w:p>
              </w:tc>
            </w:tr>
            <w:tr>
              <w:tblPrEx>
                <w:tblLayout w:type="fixed"/>
                <w:tblCellMar>
                  <w:top w:w="28" w:type="dxa"/>
                  <w:left w:w="108" w:type="dxa"/>
                  <w:bottom w:w="28" w:type="dxa"/>
                  <w:right w:w="108" w:type="dxa"/>
                </w:tblCellMar>
              </w:tblPrEx>
              <w:trPr>
                <w:cantSplit/>
                <w:trHeight w:val="90" w:hRule="atLeast"/>
              </w:trPr>
              <w:tc>
                <w:tcPr>
                  <w:tcW w:w="745" w:type="dxa"/>
                  <w:vMerge w:val="continue"/>
                  <w:vAlign w:val="center"/>
                </w:tcPr>
                <w:p>
                  <w:pPr>
                    <w:contextualSpacing/>
                    <w:jc w:val="center"/>
                    <w:rPr>
                      <w:szCs w:val="21"/>
                    </w:rPr>
                  </w:pPr>
                </w:p>
              </w:tc>
              <w:tc>
                <w:tcPr>
                  <w:tcW w:w="2712" w:type="dxa"/>
                  <w:vMerge w:val="continue"/>
                  <w:vAlign w:val="center"/>
                </w:tcPr>
                <w:p>
                  <w:pPr>
                    <w:contextualSpacing/>
                    <w:jc w:val="center"/>
                    <w:rPr>
                      <w:szCs w:val="21"/>
                    </w:rPr>
                  </w:pPr>
                </w:p>
              </w:tc>
              <w:tc>
                <w:tcPr>
                  <w:tcW w:w="1106" w:type="dxa"/>
                  <w:vMerge w:val="continue"/>
                  <w:vAlign w:val="center"/>
                </w:tcPr>
                <w:p>
                  <w:pPr>
                    <w:contextualSpacing/>
                    <w:jc w:val="center"/>
                    <w:rPr>
                      <w:szCs w:val="21"/>
                    </w:rPr>
                  </w:pPr>
                </w:p>
              </w:tc>
              <w:tc>
                <w:tcPr>
                  <w:tcW w:w="1190" w:type="dxa"/>
                  <w:vAlign w:val="center"/>
                </w:tcPr>
                <w:p>
                  <w:pPr>
                    <w:contextualSpacing/>
                    <w:jc w:val="center"/>
                    <w:rPr>
                      <w:szCs w:val="21"/>
                    </w:rPr>
                  </w:pPr>
                  <w:r>
                    <w:rPr>
                      <w:szCs w:val="21"/>
                    </w:rPr>
                    <w:t>夜间</w:t>
                  </w:r>
                </w:p>
              </w:tc>
              <w:tc>
                <w:tcPr>
                  <w:tcW w:w="2152" w:type="dxa"/>
                  <w:vAlign w:val="center"/>
                </w:tcPr>
                <w:p>
                  <w:pPr>
                    <w:contextualSpacing/>
                    <w:jc w:val="center"/>
                    <w:rPr>
                      <w:szCs w:val="21"/>
                    </w:rPr>
                  </w:pPr>
                  <w:r>
                    <w:rPr>
                      <w:rFonts w:hint="eastAsia"/>
                      <w:szCs w:val="21"/>
                    </w:rPr>
                    <w:t>55</w:t>
                  </w:r>
                  <w:r>
                    <w:rPr>
                      <w:szCs w:val="21"/>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463" w:hRule="atLeast"/>
              </w:trPr>
              <w:tc>
                <w:tcPr>
                  <w:tcW w:w="745" w:type="dxa"/>
                  <w:vMerge w:val="restart"/>
                  <w:vAlign w:val="center"/>
                </w:tcPr>
                <w:p>
                  <w:pPr>
                    <w:contextualSpacing/>
                    <w:jc w:val="center"/>
                    <w:rPr>
                      <w:szCs w:val="21"/>
                    </w:rPr>
                  </w:pPr>
                  <w:r>
                    <w:rPr>
                      <w:szCs w:val="21"/>
                    </w:rPr>
                    <w:t>固废</w:t>
                  </w:r>
                </w:p>
              </w:tc>
              <w:tc>
                <w:tcPr>
                  <w:tcW w:w="7160" w:type="dxa"/>
                  <w:gridSpan w:val="4"/>
                  <w:vAlign w:val="center"/>
                </w:tcPr>
                <w:p>
                  <w:pPr>
                    <w:jc w:val="center"/>
                    <w:rPr>
                      <w:color w:val="FF0000"/>
                      <w:kern w:val="0"/>
                      <w:szCs w:val="21"/>
                    </w:rPr>
                  </w:pPr>
                  <w:r>
                    <w:rPr>
                      <w:szCs w:val="21"/>
                    </w:rPr>
                    <w:t>一般工业固体废物</w:t>
                  </w:r>
                  <w:r>
                    <w:rPr>
                      <w:rFonts w:hint="eastAsia"/>
                      <w:szCs w:val="21"/>
                    </w:rPr>
                    <w:t>：</w:t>
                  </w:r>
                  <w:r>
                    <w:rPr>
                      <w:szCs w:val="21"/>
                    </w:rPr>
                    <w:t>满足相应防渗漏、防雨淋、防扬尘等环境保护要求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Ex>
              <w:trPr>
                <w:cantSplit/>
                <w:trHeight w:val="582" w:hRule="atLeast"/>
              </w:trPr>
              <w:tc>
                <w:tcPr>
                  <w:tcW w:w="745" w:type="dxa"/>
                  <w:vMerge w:val="continue"/>
                  <w:vAlign w:val="center"/>
                </w:tcPr>
                <w:p>
                  <w:pPr>
                    <w:contextualSpacing/>
                    <w:jc w:val="center"/>
                    <w:rPr>
                      <w:szCs w:val="21"/>
                    </w:rPr>
                  </w:pPr>
                </w:p>
              </w:tc>
              <w:tc>
                <w:tcPr>
                  <w:tcW w:w="7160" w:type="dxa"/>
                  <w:gridSpan w:val="4"/>
                  <w:vAlign w:val="center"/>
                </w:tcPr>
                <w:p>
                  <w:pPr>
                    <w:pStyle w:val="10"/>
                    <w:ind w:firstLine="0"/>
                    <w:contextualSpacing/>
                    <w:jc w:val="center"/>
                    <w:rPr>
                      <w:szCs w:val="21"/>
                    </w:rPr>
                  </w:pPr>
                  <w:r>
                    <w:rPr>
                      <w:szCs w:val="21"/>
                    </w:rPr>
                    <w:t>《危险废物贮存污染控制标准》</w:t>
                  </w:r>
                  <w:r>
                    <w:rPr>
                      <w:rFonts w:hint="eastAsia"/>
                      <w:szCs w:val="21"/>
                    </w:rPr>
                    <w:t>（</w:t>
                  </w:r>
                  <w:r>
                    <w:rPr>
                      <w:szCs w:val="21"/>
                    </w:rPr>
                    <w:t>GB18597-2001</w:t>
                  </w:r>
                  <w:r>
                    <w:rPr>
                      <w:rFonts w:hint="eastAsia"/>
                      <w:szCs w:val="21"/>
                    </w:rPr>
                    <w:t>）</w:t>
                  </w:r>
                  <w:r>
                    <w:rPr>
                      <w:szCs w:val="21"/>
                    </w:rPr>
                    <w:t>及</w:t>
                  </w:r>
                  <w:r>
                    <w:rPr>
                      <w:rFonts w:hint="eastAsia"/>
                      <w:szCs w:val="21"/>
                    </w:rPr>
                    <w:t>2013年</w:t>
                  </w:r>
                  <w:r>
                    <w:rPr>
                      <w:szCs w:val="21"/>
                    </w:rPr>
                    <w:t>修改单</w:t>
                  </w:r>
                </w:p>
              </w:tc>
            </w:tr>
          </w:tbl>
          <w:p>
            <w:pPr>
              <w:adjustRightInd w:val="0"/>
              <w:snapToGrid w:val="0"/>
              <w:jc w:val="center"/>
              <w:rPr>
                <w:rFonts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877" w:hRule="atLeast"/>
          <w:jc w:val="center"/>
        </w:trPr>
        <w:tc>
          <w:tcPr>
            <w:tcW w:w="800" w:type="dxa"/>
            <w:vAlign w:val="center"/>
          </w:tcPr>
          <w:p>
            <w:pPr>
              <w:adjustRightInd w:val="0"/>
              <w:snapToGrid w:val="0"/>
              <w:jc w:val="center"/>
              <w:rPr>
                <w:rFonts w:cs="宋体"/>
                <w:kern w:val="0"/>
                <w:sz w:val="24"/>
              </w:rPr>
            </w:pPr>
            <w:r>
              <w:rPr>
                <w:rFonts w:hint="eastAsia" w:cs="宋体"/>
                <w:kern w:val="0"/>
                <w:sz w:val="24"/>
              </w:rPr>
              <w:t>总量</w:t>
            </w:r>
          </w:p>
          <w:p>
            <w:pPr>
              <w:adjustRightInd w:val="0"/>
              <w:snapToGrid w:val="0"/>
              <w:jc w:val="center"/>
              <w:rPr>
                <w:rFonts w:cs="宋体"/>
                <w:kern w:val="0"/>
                <w:sz w:val="24"/>
              </w:rPr>
            </w:pPr>
            <w:r>
              <w:rPr>
                <w:rFonts w:hint="eastAsia" w:cs="宋体"/>
                <w:kern w:val="0"/>
                <w:sz w:val="24"/>
              </w:rPr>
              <w:t>控制</w:t>
            </w:r>
          </w:p>
          <w:p>
            <w:pPr>
              <w:adjustRightInd w:val="0"/>
              <w:snapToGrid w:val="0"/>
              <w:jc w:val="center"/>
              <w:rPr>
                <w:rFonts w:cs="宋体"/>
                <w:kern w:val="0"/>
                <w:sz w:val="24"/>
              </w:rPr>
            </w:pPr>
            <w:r>
              <w:rPr>
                <w:rFonts w:hint="eastAsia" w:cs="宋体"/>
                <w:kern w:val="0"/>
                <w:sz w:val="24"/>
              </w:rPr>
              <w:t>指标</w:t>
            </w:r>
          </w:p>
        </w:tc>
        <w:tc>
          <w:tcPr>
            <w:tcW w:w="8190" w:type="dxa"/>
            <w:vAlign w:val="center"/>
          </w:tcPr>
          <w:p>
            <w:pPr>
              <w:autoSpaceDE w:val="0"/>
              <w:autoSpaceDN w:val="0"/>
              <w:adjustRightInd w:val="0"/>
              <w:snapToGrid w:val="0"/>
              <w:spacing w:line="360" w:lineRule="auto"/>
              <w:ind w:firstLine="480" w:firstLineChars="200"/>
              <w:rPr>
                <w:rFonts w:cs="宋体"/>
                <w:kern w:val="0"/>
                <w:sz w:val="24"/>
              </w:rPr>
            </w:pPr>
            <w:r>
              <w:rPr>
                <w:rFonts w:cs="宋体"/>
                <w:kern w:val="0"/>
                <w:sz w:val="24"/>
              </w:rPr>
              <w:t>本项目运营期产生</w:t>
            </w:r>
            <w:r>
              <w:rPr>
                <w:rFonts w:hint="eastAsia" w:cs="宋体"/>
                <w:kern w:val="0"/>
                <w:sz w:val="24"/>
              </w:rPr>
              <w:t>的</w:t>
            </w:r>
            <w:r>
              <w:rPr>
                <w:rFonts w:cs="宋体"/>
                <w:kern w:val="0"/>
                <w:sz w:val="24"/>
              </w:rPr>
              <w:t>废水主要为员工生活污水</w:t>
            </w:r>
            <w:r>
              <w:rPr>
                <w:rFonts w:hint="eastAsia" w:cs="宋体"/>
                <w:kern w:val="0"/>
                <w:sz w:val="24"/>
              </w:rPr>
              <w:t>、车辆冲洗废水和生产废水。生活污水经化粪池处理后，</w:t>
            </w:r>
            <w:r>
              <w:rPr>
                <w:rFonts w:hint="eastAsia" w:cs="宋体"/>
                <w:kern w:val="0"/>
                <w:sz w:val="24"/>
                <w:lang w:eastAsia="zh-CN"/>
              </w:rPr>
              <w:t>定期由吸粪车运至</w:t>
            </w:r>
            <w:r>
              <w:rPr>
                <w:rFonts w:hint="eastAsia" w:cs="宋体"/>
                <w:kern w:val="0"/>
                <w:sz w:val="24"/>
              </w:rPr>
              <w:t>集聚区污水处理厂处理</w:t>
            </w:r>
            <w:r>
              <w:rPr>
                <w:rFonts w:hint="eastAsia" w:cs="宋体"/>
                <w:kern w:val="0"/>
                <w:sz w:val="24"/>
                <w:lang w:eastAsia="zh-CN"/>
              </w:rPr>
              <w:t>达标</w:t>
            </w:r>
            <w:r>
              <w:rPr>
                <w:rFonts w:hint="eastAsia" w:cs="宋体"/>
                <w:kern w:val="0"/>
                <w:sz w:val="24"/>
              </w:rPr>
              <w:t>后综合利用，不外排；车辆冲洗废水经沉淀池沉淀后循环使用，不外排；生产废水经浓缩罐处理后，在储水池暂存，循环使用，不外排。本项目COD、NH</w:t>
            </w:r>
            <w:r>
              <w:rPr>
                <w:rFonts w:hint="eastAsia" w:cs="宋体"/>
                <w:kern w:val="0"/>
                <w:sz w:val="24"/>
                <w:vertAlign w:val="subscript"/>
              </w:rPr>
              <w:t>3</w:t>
            </w:r>
            <w:r>
              <w:rPr>
                <w:rFonts w:hint="eastAsia" w:cs="宋体"/>
                <w:kern w:val="0"/>
                <w:sz w:val="24"/>
              </w:rPr>
              <w:t>-N总量控制指标均为0t/a。</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本项目烘干工序使用天然气为燃料，液化天然气年使用量为180万m</w:t>
            </w:r>
            <w:r>
              <w:rPr>
                <w:rFonts w:hint="eastAsia" w:cs="宋体"/>
                <w:kern w:val="0"/>
                <w:sz w:val="24"/>
                <w:vertAlign w:val="superscript"/>
              </w:rPr>
              <w:t>3</w:t>
            </w:r>
            <w:r>
              <w:rPr>
                <w:rFonts w:hint="eastAsia" w:cs="宋体"/>
                <w:kern w:val="0"/>
                <w:sz w:val="24"/>
              </w:rPr>
              <w:t>/a，NO</w:t>
            </w:r>
            <w:r>
              <w:rPr>
                <w:rFonts w:hint="eastAsia" w:cs="宋体"/>
                <w:kern w:val="0"/>
                <w:sz w:val="24"/>
                <w:vertAlign w:val="subscript"/>
              </w:rPr>
              <w:t>X</w:t>
            </w:r>
            <w:r>
              <w:rPr>
                <w:rFonts w:hint="eastAsia" w:cs="宋体"/>
                <w:kern w:val="0"/>
                <w:sz w:val="24"/>
              </w:rPr>
              <w:t>排放量为1.25t/a，SO</w:t>
            </w:r>
            <w:r>
              <w:rPr>
                <w:rFonts w:hint="eastAsia" w:cs="宋体"/>
                <w:kern w:val="0"/>
                <w:sz w:val="24"/>
                <w:vertAlign w:val="subscript"/>
              </w:rPr>
              <w:t>2</w:t>
            </w:r>
            <w:r>
              <w:rPr>
                <w:rFonts w:hint="eastAsia" w:cs="宋体"/>
                <w:kern w:val="0"/>
                <w:sz w:val="24"/>
              </w:rPr>
              <w:t>排放量为0.36t/a。</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综上所述，</w:t>
            </w:r>
            <w:r>
              <w:rPr>
                <w:rFonts w:cs="宋体"/>
                <w:kern w:val="0"/>
                <w:sz w:val="24"/>
              </w:rPr>
              <w:t>本项目新增总量控制指标为</w:t>
            </w:r>
            <w:r>
              <w:rPr>
                <w:rFonts w:hint="eastAsia" w:cs="宋体"/>
                <w:kern w:val="0"/>
                <w:sz w:val="24"/>
              </w:rPr>
              <w:t>SO</w:t>
            </w:r>
            <w:r>
              <w:rPr>
                <w:rFonts w:hint="eastAsia" w:cs="宋体"/>
                <w:kern w:val="0"/>
                <w:sz w:val="24"/>
                <w:vertAlign w:val="subscript"/>
              </w:rPr>
              <w:t>2</w:t>
            </w:r>
            <w:r>
              <w:rPr>
                <w:rFonts w:hint="eastAsia" w:cs="宋体"/>
                <w:kern w:val="0"/>
                <w:sz w:val="24"/>
              </w:rPr>
              <w:t>：0.36</w:t>
            </w:r>
            <w:r>
              <w:rPr>
                <w:rFonts w:cs="宋体"/>
                <w:kern w:val="0"/>
                <w:sz w:val="24"/>
              </w:rPr>
              <w:t>t/a，</w:t>
            </w:r>
            <w:r>
              <w:rPr>
                <w:rFonts w:hint="eastAsia" w:cs="宋体"/>
                <w:kern w:val="0"/>
                <w:sz w:val="24"/>
              </w:rPr>
              <w:t>NO</w:t>
            </w:r>
            <w:r>
              <w:rPr>
                <w:rFonts w:hint="eastAsia" w:cs="宋体"/>
                <w:kern w:val="0"/>
                <w:sz w:val="24"/>
                <w:vertAlign w:val="subscript"/>
              </w:rPr>
              <w:t>X</w:t>
            </w:r>
            <w:r>
              <w:rPr>
                <w:rFonts w:hint="eastAsia" w:cs="宋体"/>
                <w:kern w:val="0"/>
                <w:sz w:val="24"/>
              </w:rPr>
              <w:t>1.25</w:t>
            </w:r>
            <w:r>
              <w:rPr>
                <w:rFonts w:cs="宋体"/>
                <w:kern w:val="0"/>
                <w:sz w:val="24"/>
              </w:rPr>
              <w:t>t/a</w:t>
            </w:r>
            <w:r>
              <w:rPr>
                <w:rFonts w:hint="eastAsia" w:cs="宋体"/>
                <w:kern w:val="0"/>
                <w:sz w:val="24"/>
              </w:rPr>
              <w:t>；COD：</w:t>
            </w:r>
            <w:r>
              <w:rPr>
                <w:rFonts w:cs="宋体"/>
                <w:kern w:val="0"/>
                <w:sz w:val="24"/>
              </w:rPr>
              <w:t>0t/a，</w:t>
            </w:r>
            <w:r>
              <w:rPr>
                <w:rFonts w:hint="eastAsia" w:cs="宋体"/>
                <w:kern w:val="0"/>
                <w:sz w:val="24"/>
              </w:rPr>
              <w:t>NH</w:t>
            </w:r>
            <w:r>
              <w:rPr>
                <w:rFonts w:hint="eastAsia" w:cs="宋体"/>
                <w:kern w:val="0"/>
                <w:sz w:val="24"/>
                <w:vertAlign w:val="subscript"/>
              </w:rPr>
              <w:t>3</w:t>
            </w:r>
            <w:r>
              <w:rPr>
                <w:rFonts w:hint="eastAsia" w:cs="宋体"/>
                <w:kern w:val="0"/>
                <w:sz w:val="24"/>
              </w:rPr>
              <w:t>-N：</w:t>
            </w:r>
            <w:r>
              <w:rPr>
                <w:rFonts w:cs="宋体"/>
                <w:kern w:val="0"/>
                <w:sz w:val="24"/>
              </w:rPr>
              <w:t>0t/a。</w:t>
            </w:r>
          </w:p>
        </w:tc>
      </w:tr>
    </w:tbl>
    <w:p>
      <w:pPr>
        <w:pStyle w:val="21"/>
        <w:jc w:val="center"/>
        <w:outlineLvl w:val="0"/>
        <w:rPr>
          <w:rFonts w:ascii="Times New Roman" w:hAnsi="Times New Roman"/>
          <w:b/>
          <w:bCs/>
          <w:snapToGrid w:val="0"/>
          <w:sz w:val="30"/>
          <w:szCs w:val="30"/>
        </w:rPr>
      </w:pPr>
      <w:r>
        <w:rPr>
          <w:rFonts w:ascii="Times New Roman" w:hAnsi="Times New Roman"/>
          <w:snapToGrid w:val="0"/>
          <w:sz w:val="36"/>
          <w:szCs w:val="36"/>
        </w:rPr>
        <w:br w:type="page"/>
      </w:r>
      <w:r>
        <w:rPr>
          <w:rFonts w:hint="eastAsia" w:ascii="Times New Roman" w:hAnsi="Times New Roman"/>
          <w:b/>
          <w:bCs/>
          <w:snapToGrid w:val="0"/>
          <w:sz w:val="30"/>
          <w:szCs w:val="30"/>
        </w:rPr>
        <w:t>四、主要环境影响和保护措施</w:t>
      </w:r>
    </w:p>
    <w:tbl>
      <w:tblPr>
        <w:tblStyle w:val="26"/>
        <w:tblW w:w="890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46"/>
        <w:gridCol w:w="816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235" w:hRule="atLeast"/>
          <w:jc w:val="center"/>
        </w:trPr>
        <w:tc>
          <w:tcPr>
            <w:tcW w:w="746" w:type="dxa"/>
            <w:tcMar>
              <w:left w:w="28" w:type="dxa"/>
              <w:right w:w="28" w:type="dxa"/>
            </w:tcMar>
            <w:vAlign w:val="center"/>
          </w:tcPr>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施工</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期环</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境保</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护措</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w:t>
            </w: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施工</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期环</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境保</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护措</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w:t>
            </w: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施工</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期环</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境保</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护措</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w:t>
            </w: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施工</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期环</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境保</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护措</w:t>
            </w:r>
          </w:p>
          <w:p>
            <w:pPr>
              <w:pStyle w:val="21"/>
              <w:adjustRightInd w:val="0"/>
              <w:snapToGrid w:val="0"/>
              <w:spacing w:before="0" w:beforeAutospacing="0" w:after="0" w:afterAutospacing="0"/>
              <w:jc w:val="center"/>
              <w:rPr>
                <w:rFonts w:ascii="Times New Roman" w:hAnsi="Times New Roman" w:cs="宋体"/>
                <w:kern w:val="2"/>
                <w:szCs w:val="24"/>
              </w:rPr>
            </w:pPr>
            <w:r>
              <w:rPr>
                <w:rFonts w:hint="eastAsia" w:ascii="Times New Roman" w:hAnsi="Times New Roman" w:cs="宋体"/>
                <w:kern w:val="2"/>
                <w:szCs w:val="24"/>
              </w:rPr>
              <w:t>施</w:t>
            </w:r>
          </w:p>
          <w:p>
            <w:pPr>
              <w:pStyle w:val="21"/>
              <w:adjustRightInd w:val="0"/>
              <w:snapToGrid w:val="0"/>
              <w:spacing w:before="0" w:beforeAutospacing="0" w:after="0" w:afterAutospacing="0"/>
              <w:jc w:val="both"/>
              <w:rPr>
                <w:rFonts w:ascii="Times New Roman" w:hAnsi="Times New Roman" w:cs="宋体"/>
                <w:kern w:val="2"/>
                <w:szCs w:val="24"/>
              </w:rPr>
            </w:pPr>
          </w:p>
        </w:tc>
        <w:tc>
          <w:tcPr>
            <w:tcW w:w="8162" w:type="dxa"/>
            <w:vAlign w:val="center"/>
          </w:tcPr>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1 施工废气污染防治措施</w:t>
            </w:r>
          </w:p>
          <w:p>
            <w:pPr>
              <w:autoSpaceDE w:val="0"/>
              <w:autoSpaceDN w:val="0"/>
              <w:adjustRightInd w:val="0"/>
              <w:snapToGrid w:val="0"/>
              <w:spacing w:line="360" w:lineRule="auto"/>
              <w:ind w:firstLine="482" w:firstLineChars="200"/>
              <w:rPr>
                <w:rFonts w:cs="宋体"/>
                <w:b/>
                <w:bCs/>
                <w:kern w:val="0"/>
                <w:sz w:val="24"/>
                <w:u w:val="single"/>
              </w:rPr>
            </w:pPr>
            <w:r>
              <w:rPr>
                <w:rFonts w:hint="eastAsia" w:cs="宋体"/>
                <w:b/>
                <w:bCs/>
                <w:kern w:val="0"/>
                <w:sz w:val="24"/>
                <w:u w:val="single"/>
              </w:rPr>
              <w:t>本项目施工期主要</w:t>
            </w:r>
            <w:r>
              <w:rPr>
                <w:rFonts w:hint="eastAsia" w:cs="宋体"/>
                <w:b/>
                <w:bCs/>
                <w:kern w:val="0"/>
                <w:sz w:val="24"/>
                <w:u w:val="single"/>
                <w:lang w:val="en-US" w:eastAsia="zh-CN"/>
              </w:rPr>
              <w:t>建设内容为</w:t>
            </w:r>
            <w:r>
              <w:rPr>
                <w:rFonts w:hint="eastAsia" w:cs="宋体"/>
                <w:b/>
                <w:bCs/>
                <w:kern w:val="0"/>
                <w:sz w:val="24"/>
                <w:u w:val="single"/>
              </w:rPr>
              <w:t>在厂区内现有厂房南侧新建钢结构厂房</w:t>
            </w:r>
            <w:r>
              <w:rPr>
                <w:rFonts w:hint="eastAsia" w:cs="宋体"/>
                <w:b/>
                <w:bCs/>
                <w:kern w:val="0"/>
                <w:sz w:val="24"/>
                <w:u w:val="single"/>
                <w:lang w:eastAsia="zh-CN"/>
              </w:rPr>
              <w:t>，</w:t>
            </w:r>
            <w:r>
              <w:rPr>
                <w:rFonts w:hint="eastAsia" w:cs="宋体"/>
                <w:b/>
                <w:bCs/>
                <w:kern w:val="0"/>
                <w:sz w:val="24"/>
                <w:u w:val="single"/>
                <w:lang w:val="en-US" w:eastAsia="zh-CN"/>
              </w:rPr>
              <w:t>环保设施的布置、安装，生产设备的安装等</w:t>
            </w:r>
            <w:r>
              <w:rPr>
                <w:rFonts w:hint="eastAsia" w:cs="宋体"/>
                <w:b/>
                <w:bCs/>
                <w:kern w:val="0"/>
                <w:sz w:val="24"/>
                <w:u w:val="single"/>
              </w:rPr>
              <w:t>。</w:t>
            </w:r>
            <w:r>
              <w:rPr>
                <w:rFonts w:hint="eastAsia" w:cs="宋体"/>
                <w:kern w:val="0"/>
                <w:sz w:val="24"/>
              </w:rPr>
              <w:t>施工废气主要为施工扬尘。施工期基础开挖，建筑材料在装卸、堆放和使用过程以及施工期运输车辆都会产生粉尘。根据《河南省2021年大气污染防治攻坚战实施方案》、《河南省建筑施工现场扬尘防治管理暂行规定》，建议施工单位采取相应措施：</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施工现场设置连续围挡，围挡设置高度不低于1.8m；并在围挡墙上设置扬尘治理公示栏，公示施工扬尘控制措施、项目经理、具体责任人姓名及扬尘投诉举报电话，举报电话应包括施工企业、建设单位和行业监管部门电话，接受社会监督；</w:t>
            </w:r>
          </w:p>
          <w:p>
            <w:pPr>
              <w:autoSpaceDE w:val="0"/>
              <w:autoSpaceDN w:val="0"/>
              <w:adjustRightInd w:val="0"/>
              <w:snapToGrid w:val="0"/>
              <w:spacing w:line="360" w:lineRule="auto"/>
              <w:ind w:firstLine="482" w:firstLineChars="200"/>
              <w:rPr>
                <w:rFonts w:cs="宋体"/>
                <w:b/>
                <w:bCs/>
                <w:kern w:val="0"/>
                <w:sz w:val="24"/>
                <w:u w:val="single"/>
              </w:rPr>
            </w:pPr>
            <w:r>
              <w:rPr>
                <w:rFonts w:hint="eastAsia" w:cs="宋体"/>
                <w:b/>
                <w:bCs/>
                <w:kern w:val="0"/>
                <w:sz w:val="24"/>
                <w:u w:val="single"/>
              </w:rPr>
              <w:t>（2）施工现场运输沙石、灰土、渣土、工程土、泥浆等散体物料的车辆必须封闭严密，防止遗洒飞扬；</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（3）建筑材料、构件、料具应堆放整齐。石灰、石膏、砂土等易产生扬尘的物料应当密闭存放，不能密闭的应当在其周围设置不低于堆放物高度的严密围挡，采取有效覆盖措施防止扬尘，并悬挂标示标牌；</w:t>
            </w:r>
          </w:p>
          <w:p>
            <w:pPr>
              <w:autoSpaceDE w:val="0"/>
              <w:autoSpaceDN w:val="0"/>
              <w:adjustRightInd w:val="0"/>
              <w:snapToGrid w:val="0"/>
              <w:spacing w:line="360" w:lineRule="auto"/>
              <w:ind w:firstLine="482" w:firstLineChars="200"/>
              <w:rPr>
                <w:rFonts w:cs="宋体"/>
                <w:kern w:val="0"/>
                <w:sz w:val="24"/>
              </w:rPr>
            </w:pPr>
            <w:r>
              <w:rPr>
                <w:rFonts w:hint="eastAsia" w:cs="宋体"/>
                <w:b/>
                <w:bCs/>
                <w:kern w:val="0"/>
                <w:sz w:val="24"/>
                <w:u w:val="single"/>
              </w:rPr>
              <w:t>（4）施工现场道路、作业区地面硬化，厂区出口设置车辆冲洗设施，车辆驶离前应对轮胎及车身实施有效清洗，不得带泥上路；</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（5）严格落实施工工地“六个100%”（施工现场100%围挡、物料堆放100%覆盖、裸露地面100%绿化或覆盖、进出车辆100%冲洗、拆除和土方作业100%喷淋、渣土运输车100%封闭）；</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（6）施工现场配备一辆洒水车，对场区道路进行洒水降尘；</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7）对裸露土地进行临时绿化或者铺装，采取围挡降尘措施；遇到重污染天气时应全部或局部停止施工作业；出现五级及以上大风天气，采取防扬尘应急措施，且不得进行土方开挖、回填、转运作业及工程拆除等作业；</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（8）建设单位在与施工单位签订施工合同时，附环保施工要求，明确废气治理措施，隐蔽工程要及时拍照、录像，为后期验收等提供有利材料；</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（9）在进行给水管线铺设时，应及时回填挖方并对裸露地面进行覆盖。</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扬尘的产生量及扬尘污染程度与车辆的运输方式、路面状况，天气条件等因素关系密切。上述过程中产生的扬尘浓度一般为20mg/m</w:t>
            </w:r>
            <w:r>
              <w:rPr>
                <w:rFonts w:hint="eastAsia" w:cs="宋体"/>
                <w:kern w:val="0"/>
                <w:sz w:val="24"/>
                <w:vertAlign w:val="superscript"/>
              </w:rPr>
              <w:t>3</w:t>
            </w:r>
            <w:r>
              <w:rPr>
                <w:rFonts w:hint="eastAsia" w:cs="宋体"/>
                <w:kern w:val="0"/>
                <w:sz w:val="24"/>
              </w:rPr>
              <w:t>，经评价提出的上述措施处理后，扬尘浓度＜1.0mg/m</w:t>
            </w:r>
            <w:r>
              <w:rPr>
                <w:rFonts w:hint="eastAsia" w:cs="宋体"/>
                <w:kern w:val="0"/>
                <w:sz w:val="24"/>
                <w:vertAlign w:val="superscript"/>
              </w:rPr>
              <w:t>3</w:t>
            </w:r>
            <w:r>
              <w:rPr>
                <w:rFonts w:hint="eastAsia" w:cs="宋体"/>
                <w:kern w:val="0"/>
                <w:sz w:val="24"/>
              </w:rPr>
              <w:t>。</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在工程施工期间，施工机械及运输车辆的发动机排放的尾气中含有NO</w:t>
            </w:r>
            <w:r>
              <w:rPr>
                <w:rFonts w:hint="eastAsia" w:cs="宋体"/>
                <w:kern w:val="0"/>
                <w:sz w:val="24"/>
                <w:vertAlign w:val="subscript"/>
              </w:rPr>
              <w:t>2</w:t>
            </w:r>
            <w:r>
              <w:rPr>
                <w:rFonts w:hint="eastAsia" w:cs="宋体"/>
                <w:kern w:val="0"/>
                <w:sz w:val="24"/>
              </w:rPr>
              <w:t>、CO、THC等污染物。在一般情况下，各种污染物排放量不大，通过当地风力扩散后对环境影响较小。</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2、废水污染防治措施</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（1）施工期生产废水</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本项目施工期生产废水主要包括施工机械、运输车辆的冲洗废水，废水中含油泥沙等悬浮物及石油类。</w:t>
            </w:r>
            <w:r>
              <w:rPr>
                <w:rFonts w:hint="eastAsia" w:cs="宋体"/>
                <w:b/>
                <w:bCs/>
                <w:kern w:val="0"/>
                <w:sz w:val="24"/>
                <w:u w:val="single"/>
              </w:rPr>
              <w:t>本项目施工期在进场大门处设置感应式全车冲洗装置（与营运期共用），对进出场车辆进行冲洗，保证进出场车辆洁净。</w:t>
            </w:r>
            <w:r>
              <w:rPr>
                <w:rFonts w:hint="eastAsia" w:cs="宋体"/>
                <w:kern w:val="0"/>
                <w:sz w:val="24"/>
              </w:rPr>
              <w:t>车辆冲洗水循环使用不外排，新水补充量为1.5m</w:t>
            </w:r>
            <w:r>
              <w:rPr>
                <w:rFonts w:hint="eastAsia" w:cs="宋体"/>
                <w:kern w:val="0"/>
                <w:sz w:val="24"/>
                <w:vertAlign w:val="superscript"/>
              </w:rPr>
              <w:t>3</w:t>
            </w:r>
            <w:r>
              <w:rPr>
                <w:rFonts w:hint="eastAsia" w:cs="宋体"/>
                <w:kern w:val="0"/>
                <w:sz w:val="24"/>
              </w:rPr>
              <w:t>/d。</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（2）施工期生活污水</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施工期施工人员不在施工场地食宿。施工人员生活用水主要为洗漱用水，人均日用水量为20L，高峰期施工人数按15人计，生活污水排放系数取0.8，高峰日生活污水排放量约为0.24m</w:t>
            </w:r>
            <w:r>
              <w:rPr>
                <w:rFonts w:hint="eastAsia" w:cs="宋体"/>
                <w:kern w:val="0"/>
                <w:sz w:val="24"/>
                <w:vertAlign w:val="superscript"/>
              </w:rPr>
              <w:t>3</w:t>
            </w:r>
            <w:r>
              <w:rPr>
                <w:rFonts w:hint="eastAsia" w:cs="宋体"/>
                <w:kern w:val="0"/>
                <w:sz w:val="24"/>
              </w:rPr>
              <w:t>，施工期（60天）共产生14.4m</w:t>
            </w:r>
            <w:r>
              <w:rPr>
                <w:rFonts w:hint="eastAsia" w:cs="宋体"/>
                <w:kern w:val="0"/>
                <w:sz w:val="24"/>
                <w:vertAlign w:val="superscript"/>
              </w:rPr>
              <w:t>3</w:t>
            </w:r>
            <w:r>
              <w:rPr>
                <w:rFonts w:hint="eastAsia" w:cs="宋体"/>
                <w:kern w:val="0"/>
                <w:sz w:val="24"/>
              </w:rPr>
              <w:t>的生活污水，生活污水排入化粪池处理后，定期清运肥田。</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3、噪声污染防治措施</w:t>
            </w:r>
          </w:p>
          <w:p>
            <w:pPr>
              <w:autoSpaceDE w:val="0"/>
              <w:autoSpaceDN w:val="0"/>
              <w:adjustRightInd w:val="0"/>
              <w:snapToGrid w:val="0"/>
              <w:spacing w:line="360" w:lineRule="auto"/>
              <w:ind w:firstLine="480" w:firstLineChars="200"/>
              <w:rPr>
                <w:rFonts w:cs="宋体"/>
                <w:kern w:val="0"/>
                <w:sz w:val="24"/>
              </w:rPr>
            </w:pPr>
            <w:r>
              <w:rPr>
                <w:rFonts w:hint="eastAsia" w:cs="宋体"/>
                <w:kern w:val="0"/>
                <w:sz w:val="24"/>
              </w:rPr>
              <w:t xml:space="preserve">本项目施工期主要施工机械有挖掘机、装载机、振动棒、切割机和电锯等，不同的施工阶段主要设备噪声见表4-1。 </w:t>
            </w:r>
          </w:p>
          <w:p>
            <w:pPr>
              <w:pStyle w:val="44"/>
              <w:spacing w:line="360" w:lineRule="auto"/>
              <w:rPr>
                <w:rFonts w:eastAsia="宋体"/>
                <w:sz w:val="24"/>
                <w:szCs w:val="24"/>
              </w:rPr>
            </w:pPr>
            <w:r>
              <w:rPr>
                <w:rFonts w:eastAsia="宋体"/>
                <w:sz w:val="24"/>
                <w:szCs w:val="24"/>
              </w:rPr>
              <w:t xml:space="preserve">      </w:t>
            </w:r>
            <w:r>
              <w:rPr>
                <w:rFonts w:hint="eastAsia" w:eastAsia="宋体"/>
                <w:sz w:val="24"/>
                <w:szCs w:val="24"/>
              </w:rPr>
              <w:t>表4-1</w:t>
            </w:r>
            <w:r>
              <w:rPr>
                <w:rFonts w:eastAsia="宋体"/>
                <w:sz w:val="24"/>
                <w:szCs w:val="24"/>
              </w:rPr>
              <w:t xml:space="preserve">    </w:t>
            </w:r>
            <w:r>
              <w:rPr>
                <w:rFonts w:hint="eastAsia" w:eastAsia="宋体"/>
                <w:sz w:val="24"/>
                <w:szCs w:val="24"/>
              </w:rPr>
              <w:t>主要施工机械噪声级</w:t>
            </w:r>
            <w:r>
              <w:rPr>
                <w:rFonts w:eastAsia="宋体"/>
                <w:sz w:val="24"/>
                <w:szCs w:val="24"/>
              </w:rPr>
              <w:t xml:space="preserve">          </w:t>
            </w:r>
            <w:r>
              <w:rPr>
                <w:rFonts w:hint="eastAsia" w:eastAsia="宋体"/>
                <w:sz w:val="24"/>
                <w:szCs w:val="24"/>
              </w:rPr>
              <w:t>单位：</w:t>
            </w:r>
            <w:r>
              <w:rPr>
                <w:rFonts w:eastAsia="宋体"/>
                <w:sz w:val="24"/>
                <w:szCs w:val="24"/>
              </w:rPr>
              <w:t>dB</w:t>
            </w:r>
            <w:r>
              <w:rPr>
                <w:rFonts w:hint="eastAsia" w:eastAsia="宋体"/>
                <w:sz w:val="24"/>
                <w:szCs w:val="24"/>
              </w:rPr>
              <w:t>（</w:t>
            </w:r>
            <w:r>
              <w:rPr>
                <w:rFonts w:eastAsia="宋体"/>
                <w:sz w:val="24"/>
                <w:szCs w:val="24"/>
              </w:rPr>
              <w:t>A</w:t>
            </w:r>
            <w:r>
              <w:rPr>
                <w:rFonts w:hint="eastAsia" w:eastAsia="宋体"/>
                <w:sz w:val="24"/>
                <w:szCs w:val="24"/>
              </w:rPr>
              <w:t>）</w:t>
            </w:r>
          </w:p>
          <w:tbl>
            <w:tblPr>
              <w:tblStyle w:val="26"/>
              <w:tblW w:w="79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629"/>
              <w:gridCol w:w="2660"/>
              <w:gridCol w:w="26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tcBorders>
                    <w:top w:val="single" w:color="000000" w:sz="4" w:space="0"/>
                    <w:left w:val="single" w:color="000000" w:sz="4" w:space="0"/>
                    <w:bottom w:val="single" w:color="000000" w:sz="4" w:space="0"/>
                    <w:right w:val="single" w:color="000000" w:sz="4" w:space="0"/>
                  </w:tcBorders>
                  <w:vAlign w:val="center"/>
                </w:tcPr>
                <w:p>
                  <w:pPr>
                    <w:jc w:val="center"/>
                    <w:rPr>
                      <w:b/>
                      <w:szCs w:val="21"/>
                    </w:rPr>
                  </w:pPr>
                  <w:r>
                    <w:rPr>
                      <w:rFonts w:hint="eastAsia"/>
                      <w:b/>
                      <w:szCs w:val="21"/>
                    </w:rPr>
                    <w:t>施工期</w:t>
                  </w: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b/>
                      <w:szCs w:val="21"/>
                    </w:rPr>
                  </w:pPr>
                  <w:r>
                    <w:rPr>
                      <w:rFonts w:hint="eastAsia"/>
                      <w:b/>
                      <w:szCs w:val="21"/>
                    </w:rPr>
                    <w:t>主要声源</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b/>
                      <w:szCs w:val="21"/>
                    </w:rPr>
                  </w:pPr>
                  <w:r>
                    <w:rPr>
                      <w:rFonts w:hint="eastAsia"/>
                      <w:b/>
                      <w:szCs w:val="21"/>
                    </w:rPr>
                    <w:t>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地基与土石方阶段</w:t>
                  </w: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装载机</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szCs w:val="21"/>
                    </w:rPr>
                  </w:pP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挖掘机</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70-90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地板与结构阶段</w:t>
                  </w: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振捣棒</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85-90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szCs w:val="21"/>
                    </w:rPr>
                  </w:pP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rFonts w:hint="eastAsia"/>
                      <w:szCs w:val="21"/>
                    </w:rPr>
                    <w:t>吊车</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80-90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szCs w:val="21"/>
                    </w:rPr>
                  </w:pP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bCs/>
                      <w:szCs w:val="21"/>
                    </w:rPr>
                  </w:pPr>
                  <w:r>
                    <w:rPr>
                      <w:rFonts w:hint="eastAsia"/>
                      <w:bCs/>
                      <w:szCs w:val="21"/>
                    </w:rPr>
                    <w:t>切割机</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80-90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629"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szCs w:val="21"/>
                    </w:rPr>
                  </w:pPr>
                </w:p>
              </w:tc>
              <w:tc>
                <w:tcPr>
                  <w:tcW w:w="2660" w:type="dxa"/>
                  <w:tcBorders>
                    <w:top w:val="single" w:color="000000" w:sz="4" w:space="0"/>
                    <w:left w:val="single" w:color="000000" w:sz="4" w:space="0"/>
                    <w:bottom w:val="single" w:color="000000" w:sz="4" w:space="0"/>
                    <w:right w:val="single" w:color="000000" w:sz="4" w:space="0"/>
                  </w:tcBorders>
                  <w:vAlign w:val="center"/>
                </w:tcPr>
                <w:p>
                  <w:pPr>
                    <w:jc w:val="center"/>
                    <w:rPr>
                      <w:bCs/>
                      <w:szCs w:val="21"/>
                    </w:rPr>
                  </w:pPr>
                  <w:r>
                    <w:rPr>
                      <w:rFonts w:hint="eastAsia"/>
                      <w:bCs/>
                      <w:szCs w:val="21"/>
                    </w:rPr>
                    <w:t>电锯</w:t>
                  </w:r>
                </w:p>
              </w:tc>
              <w:tc>
                <w:tcPr>
                  <w:tcW w:w="2647" w:type="dxa"/>
                  <w:tcBorders>
                    <w:top w:val="single" w:color="000000" w:sz="4" w:space="0"/>
                    <w:left w:val="single" w:color="000000" w:sz="4" w:space="0"/>
                    <w:bottom w:val="single" w:color="000000" w:sz="4" w:space="0"/>
                    <w:right w:val="single" w:color="000000" w:sz="4" w:space="0"/>
                  </w:tcBorders>
                  <w:vAlign w:val="center"/>
                </w:tcPr>
                <w:p>
                  <w:pPr>
                    <w:jc w:val="center"/>
                    <w:rPr>
                      <w:szCs w:val="21"/>
                    </w:rPr>
                  </w:pPr>
                  <w:r>
                    <w:rPr>
                      <w:szCs w:val="21"/>
                    </w:rPr>
                    <w:t>80-90</w:t>
                  </w:r>
                </w:p>
              </w:tc>
            </w:tr>
          </w:tbl>
          <w:p>
            <w:pPr>
              <w:adjustRightInd w:val="0"/>
              <w:snapToGrid w:val="0"/>
              <w:spacing w:line="360" w:lineRule="auto"/>
              <w:ind w:firstLine="480" w:firstLineChars="200"/>
              <w:jc w:val="left"/>
              <w:rPr>
                <w:snapToGrid w:val="0"/>
                <w:kern w:val="0"/>
                <w:sz w:val="24"/>
              </w:rPr>
            </w:pPr>
            <w:r>
              <w:rPr>
                <w:snapToGrid w:val="0"/>
                <w:kern w:val="0"/>
                <w:sz w:val="24"/>
              </w:rPr>
              <w:t>为降低施工期噪声对该区域声环境质量的影响，评价要求</w:t>
            </w:r>
            <w:r>
              <w:rPr>
                <w:rFonts w:hint="eastAsia"/>
                <w:snapToGrid w:val="0"/>
                <w:kern w:val="0"/>
                <w:sz w:val="24"/>
              </w:rPr>
              <w:t>采取</w:t>
            </w:r>
            <w:r>
              <w:rPr>
                <w:snapToGrid w:val="0"/>
                <w:kern w:val="0"/>
                <w:sz w:val="24"/>
              </w:rPr>
              <w:t>以下减缓措施：</w:t>
            </w:r>
          </w:p>
          <w:p>
            <w:pPr>
              <w:adjustRightInd w:val="0"/>
              <w:snapToGrid w:val="0"/>
              <w:spacing w:line="360" w:lineRule="auto"/>
              <w:ind w:firstLine="480" w:firstLineChars="200"/>
              <w:jc w:val="left"/>
              <w:rPr>
                <w:sz w:val="24"/>
              </w:rPr>
            </w:pPr>
            <w:r>
              <w:rPr>
                <w:sz w:val="24"/>
              </w:rPr>
              <w:t>（1）从声源上控制。建设单位在与施工单位签订施工合同时，应要求其使用的主要设备为低噪声设备，同时在施工过程中施工单位应设置专人对设备进行定期保养和维护，负责对施工工作人员进行培训，严格操作规范使用各类机械。</w:t>
            </w:r>
          </w:p>
          <w:p>
            <w:pPr>
              <w:adjustRightInd w:val="0"/>
              <w:snapToGrid w:val="0"/>
              <w:spacing w:line="360" w:lineRule="auto"/>
              <w:ind w:firstLine="480" w:firstLineChars="200"/>
              <w:jc w:val="left"/>
              <w:rPr>
                <w:sz w:val="24"/>
              </w:rPr>
            </w:pPr>
            <w:r>
              <w:rPr>
                <w:sz w:val="24"/>
              </w:rPr>
              <w:t>（2）合理安排施工计划和进度，禁止夜间施工。</w:t>
            </w:r>
          </w:p>
          <w:p>
            <w:pPr>
              <w:adjustRightInd w:val="0"/>
              <w:snapToGrid w:val="0"/>
              <w:spacing w:line="360" w:lineRule="auto"/>
              <w:ind w:firstLine="482" w:firstLineChars="200"/>
              <w:jc w:val="left"/>
              <w:rPr>
                <w:b/>
                <w:bCs/>
                <w:sz w:val="24"/>
                <w:u w:val="single"/>
              </w:rPr>
            </w:pPr>
            <w:r>
              <w:rPr>
                <w:b/>
                <w:bCs/>
                <w:sz w:val="24"/>
                <w:u w:val="single"/>
              </w:rPr>
              <w:t>（3）施工场地的施工车辆进出场时应低速，禁鸣。</w:t>
            </w:r>
          </w:p>
          <w:p>
            <w:pPr>
              <w:adjustRightInd w:val="0"/>
              <w:snapToGrid w:val="0"/>
              <w:spacing w:line="360" w:lineRule="auto"/>
              <w:ind w:firstLine="480" w:firstLineChars="200"/>
              <w:jc w:val="left"/>
              <w:rPr>
                <w:sz w:val="24"/>
              </w:rPr>
            </w:pPr>
            <w:r>
              <w:rPr>
                <w:sz w:val="24"/>
              </w:rPr>
              <w:t>（4）建设管理部门应加强对施工工地的噪声管理，施工企业也应对施工噪声进行自律，文明施工。</w:t>
            </w:r>
          </w:p>
          <w:p>
            <w:pPr>
              <w:adjustRightInd w:val="0"/>
              <w:snapToGrid w:val="0"/>
              <w:spacing w:line="360" w:lineRule="auto"/>
              <w:ind w:firstLine="480" w:firstLineChars="200"/>
              <w:jc w:val="left"/>
              <w:rPr>
                <w:sz w:val="24"/>
              </w:rPr>
            </w:pPr>
            <w:r>
              <w:rPr>
                <w:sz w:val="24"/>
              </w:rPr>
              <w:t>通过以上噪声防治措施的实施，可以把施工期噪声对周围环境的影响降低到最小。</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4 固体废物污染防治措施</w:t>
            </w:r>
          </w:p>
          <w:p>
            <w:pPr>
              <w:snapToGrid w:val="0"/>
              <w:spacing w:line="360" w:lineRule="auto"/>
              <w:ind w:firstLine="480" w:firstLineChars="200"/>
              <w:rPr>
                <w:sz w:val="24"/>
              </w:rPr>
            </w:pPr>
            <w:r>
              <w:rPr>
                <w:rFonts w:hint="eastAsia"/>
                <w:sz w:val="24"/>
              </w:rPr>
              <w:t>施工期产生的固体废物主要有建筑垃圾，施工人员在日常生活中产生的少量生活垃圾。</w:t>
            </w:r>
          </w:p>
          <w:p>
            <w:pPr>
              <w:autoSpaceDE w:val="0"/>
              <w:autoSpaceDN w:val="0"/>
              <w:adjustRightInd w:val="0"/>
              <w:spacing w:line="360" w:lineRule="auto"/>
              <w:ind w:firstLine="480" w:firstLineChars="200"/>
              <w:rPr>
                <w:snapToGrid w:val="0"/>
                <w:kern w:val="0"/>
                <w:sz w:val="24"/>
              </w:rPr>
            </w:pPr>
            <w:r>
              <w:rPr>
                <w:snapToGrid w:val="0"/>
                <w:kern w:val="0"/>
                <w:sz w:val="24"/>
              </w:rPr>
              <w:t>施工期间需要运输各种建筑材料（如砂石、砖等），工程完工后，会残留一部分废建筑材料。建议建设单位实行标准施工、规划运输，能重新利用的分类收集后作为再生资源利用，其余部分送到建筑垃圾厂处理，不得随意倾倒垃圾，以减少对周围环境产生的影响。</w:t>
            </w:r>
          </w:p>
          <w:p>
            <w:pPr>
              <w:snapToGrid w:val="0"/>
              <w:spacing w:line="360" w:lineRule="auto"/>
              <w:ind w:firstLine="480" w:firstLineChars="200"/>
              <w:rPr>
                <w:sz w:val="24"/>
              </w:rPr>
            </w:pPr>
            <w:r>
              <w:rPr>
                <w:rFonts w:hint="eastAsia"/>
                <w:sz w:val="24"/>
              </w:rPr>
              <w:t>施工人员的生活垃圾其成分与城市居民生活垃圾成分相似。施工人员共计为15人，每人产生垃圾按</w:t>
            </w:r>
            <w:r>
              <w:rPr>
                <w:sz w:val="24"/>
              </w:rPr>
              <w:t>0.5kg/d</w:t>
            </w:r>
            <w:r>
              <w:rPr>
                <w:rFonts w:hint="eastAsia"/>
                <w:sz w:val="24"/>
              </w:rPr>
              <w:t>计，施工期按60天计，则施工期间产生的生活垃圾约为0.45</w:t>
            </w:r>
            <w:r>
              <w:rPr>
                <w:sz w:val="24"/>
              </w:rPr>
              <w:t>t</w:t>
            </w:r>
            <w:r>
              <w:rPr>
                <w:rFonts w:hint="eastAsia"/>
                <w:sz w:val="24"/>
              </w:rPr>
              <w:t>，生活垃圾集中收集后，由当地环卫部门统一清运。</w:t>
            </w:r>
          </w:p>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5 生态环境保护对策与措施</w:t>
            </w:r>
          </w:p>
          <w:p>
            <w:pPr>
              <w:snapToGrid w:val="0"/>
              <w:spacing w:line="360" w:lineRule="auto"/>
              <w:ind w:firstLine="480"/>
              <w:rPr>
                <w:bCs/>
                <w:sz w:val="24"/>
              </w:rPr>
            </w:pPr>
            <w:r>
              <w:rPr>
                <w:rFonts w:hint="eastAsia"/>
                <w:bCs/>
                <w:sz w:val="24"/>
              </w:rPr>
              <w:t>本项目施工期为2个月，由于开挖扰动地面，施工场地内弃土因机构松散，易被雨水冲刷造成水土流失，若不采取合理的水土保持措施，易造成水土流失。施工期内可能产生水土流失的原因主要有以下几个方面：</w:t>
            </w:r>
          </w:p>
          <w:p>
            <w:pPr>
              <w:snapToGrid w:val="0"/>
              <w:spacing w:line="360" w:lineRule="auto"/>
              <w:ind w:firstLine="482"/>
              <w:rPr>
                <w:bCs/>
                <w:sz w:val="24"/>
              </w:rPr>
            </w:pPr>
            <w:r>
              <w:rPr>
                <w:rFonts w:hint="eastAsia" w:cs="宋体"/>
                <w:bCs/>
                <w:sz w:val="24"/>
              </w:rPr>
              <w:t>①</w:t>
            </w:r>
            <w:r>
              <w:rPr>
                <w:rFonts w:hint="eastAsia"/>
                <w:bCs/>
                <w:sz w:val="24"/>
              </w:rPr>
              <w:t>地基的开挖、拓宽时地面或道路开挖或其它项目中的弃土，如不及时运走或堆放时覆盖不当，遇雨时（尤其是强风暴雨时），泥砂流失，通过地面径流进入河流，造成河水混浊影响水质；</w:t>
            </w:r>
          </w:p>
          <w:p>
            <w:pPr>
              <w:snapToGrid w:val="0"/>
              <w:spacing w:line="360" w:lineRule="auto"/>
              <w:ind w:firstLine="482"/>
              <w:rPr>
                <w:bCs/>
                <w:sz w:val="24"/>
              </w:rPr>
            </w:pPr>
            <w:r>
              <w:rPr>
                <w:rFonts w:hint="eastAsia" w:cs="宋体"/>
                <w:bCs/>
                <w:sz w:val="24"/>
              </w:rPr>
              <w:t>②</w:t>
            </w:r>
            <w:r>
              <w:rPr>
                <w:rFonts w:hint="eastAsia"/>
                <w:bCs/>
                <w:sz w:val="24"/>
              </w:rPr>
              <w:t>给水管道铺设等作业进行时，弃土沿线堆放，如不及时运走或回填，遇雨时，就会随水冲入下河道。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608" w:hRule="atLeast"/>
          <w:jc w:val="center"/>
        </w:trPr>
        <w:tc>
          <w:tcPr>
            <w:tcW w:w="746" w:type="dxa"/>
            <w:tcMar>
              <w:left w:w="28" w:type="dxa"/>
              <w:right w:w="28" w:type="dxa"/>
            </w:tcMar>
            <w:vAlign w:val="center"/>
          </w:tcPr>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adjustRightInd w:val="0"/>
              <w:snapToGrid w:val="0"/>
              <w:jc w:val="center"/>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bookmarkStart w:id="4" w:name="OLE_LINK4"/>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bookmarkEnd w:id="4"/>
          <w:p>
            <w:pPr>
              <w:adjustRightInd w:val="0"/>
              <w:snapToGrid w:val="0"/>
              <w:jc w:val="center"/>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adjustRightInd w:val="0"/>
              <w:snapToGrid w:val="0"/>
              <w:jc w:val="center"/>
              <w:rPr>
                <w:rFonts w:cs="宋体"/>
                <w:bCs/>
                <w:sz w:val="24"/>
              </w:rPr>
            </w:pPr>
            <w:r>
              <w:rPr>
                <w:rFonts w:hint="eastAsia" w:cs="宋体"/>
                <w:bCs/>
                <w:sz w:val="24"/>
              </w:rPr>
              <w:t>运营</w:t>
            </w:r>
          </w:p>
          <w:p>
            <w:pPr>
              <w:adjustRightInd w:val="0"/>
              <w:snapToGrid w:val="0"/>
              <w:jc w:val="center"/>
              <w:rPr>
                <w:rFonts w:cs="宋体"/>
                <w:bCs/>
                <w:sz w:val="24"/>
              </w:rPr>
            </w:pPr>
            <w:r>
              <w:rPr>
                <w:rFonts w:hint="eastAsia" w:cs="宋体"/>
                <w:bCs/>
                <w:sz w:val="24"/>
              </w:rPr>
              <w:t>期环</w:t>
            </w:r>
          </w:p>
          <w:p>
            <w:pPr>
              <w:adjustRightInd w:val="0"/>
              <w:snapToGrid w:val="0"/>
              <w:jc w:val="center"/>
              <w:rPr>
                <w:rFonts w:cs="宋体"/>
                <w:bCs/>
                <w:sz w:val="24"/>
              </w:rPr>
            </w:pPr>
            <w:r>
              <w:rPr>
                <w:rFonts w:hint="eastAsia" w:cs="宋体"/>
                <w:bCs/>
                <w:sz w:val="24"/>
              </w:rPr>
              <w:t>境影</w:t>
            </w:r>
          </w:p>
          <w:p>
            <w:pPr>
              <w:adjustRightInd w:val="0"/>
              <w:snapToGrid w:val="0"/>
              <w:jc w:val="center"/>
              <w:rPr>
                <w:rFonts w:cs="宋体"/>
                <w:bCs/>
                <w:sz w:val="24"/>
              </w:rPr>
            </w:pPr>
            <w:r>
              <w:rPr>
                <w:rFonts w:hint="eastAsia" w:cs="宋体"/>
                <w:bCs/>
                <w:sz w:val="24"/>
              </w:rPr>
              <w:t>响和</w:t>
            </w:r>
          </w:p>
          <w:p>
            <w:pPr>
              <w:adjustRightInd w:val="0"/>
              <w:snapToGrid w:val="0"/>
              <w:jc w:val="center"/>
              <w:rPr>
                <w:rFonts w:cs="宋体"/>
                <w:bCs/>
                <w:sz w:val="24"/>
              </w:rPr>
            </w:pPr>
            <w:r>
              <w:rPr>
                <w:rFonts w:hint="eastAsia" w:cs="宋体"/>
                <w:bCs/>
                <w:sz w:val="24"/>
              </w:rPr>
              <w:t>保护</w:t>
            </w:r>
          </w:p>
          <w:p>
            <w:pPr>
              <w:adjustRightInd w:val="0"/>
              <w:snapToGrid w:val="0"/>
              <w:jc w:val="center"/>
              <w:rPr>
                <w:rFonts w:cs="宋体"/>
                <w:bCs/>
                <w:sz w:val="24"/>
              </w:rPr>
            </w:pPr>
            <w:r>
              <w:rPr>
                <w:rFonts w:hint="eastAsia" w:cs="宋体"/>
                <w:bCs/>
                <w:sz w:val="24"/>
              </w:rPr>
              <w:t>措施</w:t>
            </w: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240"/>
              <w:rPr>
                <w:rFonts w:cs="宋体"/>
                <w:bCs/>
                <w:sz w:val="24"/>
              </w:rPr>
            </w:pPr>
          </w:p>
          <w:p>
            <w:pPr>
              <w:pStyle w:val="7"/>
              <w:ind w:firstLine="0" w:firstLineChars="0"/>
              <w:rPr>
                <w:rFonts w:cs="宋体"/>
                <w:bCs/>
                <w:sz w:val="24"/>
              </w:rPr>
            </w:pPr>
          </w:p>
          <w:p>
            <w:pPr>
              <w:adjustRightInd w:val="0"/>
              <w:snapToGrid w:val="0"/>
              <w:rPr>
                <w:rFonts w:cs="宋体"/>
                <w:bCs/>
                <w:sz w:val="24"/>
              </w:rPr>
            </w:pPr>
          </w:p>
        </w:tc>
        <w:tc>
          <w:tcPr>
            <w:tcW w:w="8162" w:type="dxa"/>
            <w:vAlign w:val="center"/>
          </w:tcPr>
          <w:p>
            <w:pPr>
              <w:autoSpaceDE w:val="0"/>
              <w:autoSpaceDN w:val="0"/>
              <w:adjustRightInd w:val="0"/>
              <w:snapToGrid w:val="0"/>
              <w:spacing w:line="360" w:lineRule="auto"/>
              <w:ind w:firstLine="482" w:firstLineChars="200"/>
              <w:rPr>
                <w:rFonts w:cs="宋体"/>
                <w:b/>
                <w:bCs/>
                <w:kern w:val="0"/>
                <w:sz w:val="24"/>
              </w:rPr>
            </w:pPr>
            <w:r>
              <w:rPr>
                <w:rFonts w:hint="eastAsia" w:cs="宋体"/>
                <w:b/>
                <w:bCs/>
                <w:kern w:val="0"/>
                <w:sz w:val="24"/>
              </w:rPr>
              <w:t>1 废气</w:t>
            </w:r>
          </w:p>
          <w:p>
            <w:pPr>
              <w:spacing w:line="360" w:lineRule="auto"/>
              <w:ind w:firstLine="480" w:firstLineChars="200"/>
              <w:rPr>
                <w:snapToGrid w:val="0"/>
                <w:kern w:val="0"/>
                <w:sz w:val="24"/>
              </w:rPr>
            </w:pPr>
            <w:r>
              <w:rPr>
                <w:rFonts w:hint="eastAsia"/>
                <w:snapToGrid w:val="0"/>
                <w:kern w:val="0"/>
                <w:sz w:val="24"/>
              </w:rPr>
              <w:t>本项目废气污染源强参考《污染源源强核算技术指南 准则》（HJ884-2018）和《排污许可证申请与核发技术规范 总则》（</w:t>
            </w:r>
            <w:r>
              <w:rPr>
                <w:snapToGrid w:val="0"/>
                <w:kern w:val="0"/>
                <w:sz w:val="24"/>
              </w:rPr>
              <w:t>HJ942</w:t>
            </w:r>
            <w:r>
              <w:rPr>
                <w:rFonts w:hint="eastAsia"/>
                <w:snapToGrid w:val="0"/>
                <w:kern w:val="0"/>
                <w:sz w:val="24"/>
              </w:rPr>
              <w:t>-</w:t>
            </w:r>
            <w:r>
              <w:rPr>
                <w:snapToGrid w:val="0"/>
                <w:kern w:val="0"/>
                <w:sz w:val="24"/>
              </w:rPr>
              <w:t>2018</w:t>
            </w:r>
            <w:r>
              <w:rPr>
                <w:rFonts w:hint="eastAsia"/>
                <w:snapToGrid w:val="0"/>
                <w:kern w:val="0"/>
                <w:sz w:val="24"/>
              </w:rPr>
              <w:t>）进行计算。</w:t>
            </w:r>
          </w:p>
          <w:p>
            <w:pPr>
              <w:snapToGrid w:val="0"/>
              <w:spacing w:line="360" w:lineRule="auto"/>
              <w:ind w:firstLine="482"/>
              <w:rPr>
                <w:rFonts w:cs="宋体"/>
                <w:b/>
                <w:sz w:val="24"/>
              </w:rPr>
            </w:pPr>
            <w:r>
              <w:rPr>
                <w:rFonts w:hint="eastAsia" w:cs="宋体"/>
                <w:b/>
                <w:sz w:val="24"/>
              </w:rPr>
              <w:t>1.1 废气产排情况及环保措施</w:t>
            </w:r>
          </w:p>
          <w:p>
            <w:pPr>
              <w:spacing w:line="360" w:lineRule="auto"/>
              <w:ind w:firstLine="482" w:firstLineChars="200"/>
              <w:rPr>
                <w:b/>
                <w:bCs/>
                <w:snapToGrid w:val="0"/>
                <w:kern w:val="0"/>
                <w:sz w:val="24"/>
              </w:rPr>
            </w:pPr>
            <w:r>
              <w:rPr>
                <w:rFonts w:hint="eastAsia"/>
                <w:b/>
                <w:bCs/>
                <w:snapToGrid w:val="0"/>
                <w:kern w:val="0"/>
                <w:sz w:val="24"/>
              </w:rPr>
              <w:t>1.1.1 有组织废气</w:t>
            </w:r>
          </w:p>
          <w:p>
            <w:pPr>
              <w:spacing w:line="360" w:lineRule="auto"/>
              <w:ind w:firstLine="480" w:firstLineChars="200"/>
              <w:rPr>
                <w:snapToGrid w:val="0"/>
                <w:kern w:val="0"/>
                <w:sz w:val="24"/>
              </w:rPr>
            </w:pPr>
            <w:r>
              <w:rPr>
                <w:rFonts w:hint="eastAsia"/>
                <w:snapToGrid w:val="0"/>
                <w:kern w:val="0"/>
                <w:sz w:val="24"/>
              </w:rPr>
              <w:t>1.1.1.1原料上料工序、破碎工序颗粒物</w:t>
            </w:r>
          </w:p>
          <w:p>
            <w:pPr>
              <w:numPr>
                <w:ilvl w:val="0"/>
                <w:numId w:val="4"/>
              </w:numPr>
              <w:spacing w:line="360" w:lineRule="auto"/>
              <w:ind w:firstLine="480" w:firstLineChars="200"/>
              <w:rPr>
                <w:snapToGrid w:val="0"/>
                <w:kern w:val="0"/>
                <w:sz w:val="24"/>
              </w:rPr>
            </w:pPr>
            <w:r>
              <w:rPr>
                <w:rFonts w:hint="eastAsia"/>
                <w:snapToGrid w:val="0"/>
                <w:kern w:val="0"/>
                <w:sz w:val="24"/>
              </w:rPr>
              <w:t>原料上料工序颗粒物</w:t>
            </w:r>
          </w:p>
          <w:p>
            <w:pPr>
              <w:spacing w:line="360" w:lineRule="auto"/>
              <w:ind w:firstLine="480" w:firstLineChars="200"/>
              <w:rPr>
                <w:snapToGrid w:val="0"/>
                <w:kern w:val="0"/>
                <w:sz w:val="24"/>
              </w:rPr>
            </w:pPr>
            <w:r>
              <w:rPr>
                <w:rFonts w:hint="eastAsia"/>
                <w:snapToGrid w:val="0"/>
                <w:kern w:val="0"/>
                <w:sz w:val="24"/>
              </w:rPr>
              <w:t>本项目上料工序共3部分：原料上料、破碎料上料、半成品上料。破碎料、半成品料均为湿料，因此，上料过程中不会产生粉尘。</w:t>
            </w:r>
          </w:p>
          <w:p>
            <w:pPr>
              <w:spacing w:line="360" w:lineRule="auto"/>
              <w:ind w:firstLine="480" w:firstLineChars="200"/>
              <w:rPr>
                <w:snapToGrid w:val="0"/>
                <w:kern w:val="0"/>
                <w:sz w:val="24"/>
              </w:rPr>
            </w:pPr>
            <w:r>
              <w:rPr>
                <w:rFonts w:hint="eastAsia"/>
                <w:snapToGrid w:val="0"/>
                <w:kern w:val="0"/>
                <w:sz w:val="24"/>
              </w:rPr>
              <w:t>本次评价原料上料过程中的起尘量参考《逸散性工业粉尘控制技术》（出版日期1989年）及《工业污染核算》（出版日期2007年）中相关技术参数，确定料仓上料口粉尘产物系数为0.05kg/t-物料。本项目原料量共计</w:t>
            </w:r>
            <w:r>
              <w:rPr>
                <w:rFonts w:hint="eastAsia"/>
                <w:snapToGrid w:val="0"/>
                <w:kern w:val="0"/>
                <w:sz w:val="24"/>
                <w:lang w:val="en-US" w:eastAsia="zh-CN"/>
              </w:rPr>
              <w:t>94288.02</w:t>
            </w:r>
            <w:r>
              <w:rPr>
                <w:rFonts w:hint="eastAsia"/>
                <w:snapToGrid w:val="0"/>
                <w:kern w:val="0"/>
                <w:sz w:val="24"/>
              </w:rPr>
              <w:t>t/a，则粉尘产生量为</w:t>
            </w:r>
            <w:r>
              <w:rPr>
                <w:rFonts w:hint="eastAsia"/>
                <w:snapToGrid w:val="0"/>
                <w:kern w:val="0"/>
                <w:sz w:val="24"/>
                <w:lang w:val="en-US" w:eastAsia="zh-CN"/>
              </w:rPr>
              <w:t>4.71</w:t>
            </w:r>
            <w:r>
              <w:rPr>
                <w:rFonts w:hint="eastAsia"/>
                <w:snapToGrid w:val="0"/>
                <w:kern w:val="0"/>
                <w:sz w:val="24"/>
              </w:rPr>
              <w:t>t/a。</w:t>
            </w:r>
          </w:p>
          <w:p>
            <w:pPr>
              <w:spacing w:line="360" w:lineRule="auto"/>
              <w:ind w:firstLine="480" w:firstLineChars="200"/>
              <w:rPr>
                <w:snapToGrid w:val="0"/>
                <w:kern w:val="0"/>
                <w:sz w:val="24"/>
              </w:rPr>
            </w:pPr>
            <w:r>
              <w:rPr>
                <w:rFonts w:hint="eastAsia"/>
                <w:snapToGrid w:val="0"/>
                <w:kern w:val="0"/>
                <w:sz w:val="24"/>
              </w:rPr>
              <w:t>根据《河南省2019年工业企业无组织排放治理方案》中其他行业无组织排放治理标准的要求，“料场密闭治理：每个下料口设置独立集气罩，配套的除尘器设施不与其他工序混用。”。结合本项目的工艺配置、设备布置等情况，评价要求对本项目2个原料上料斗采取三面封闭，一面安装软帘的半封闭方式，并在上方各设置一个集气罩，共计2个集气罩，收集的废气通过一</w:t>
            </w:r>
            <w:r>
              <w:rPr>
                <w:rFonts w:hint="eastAsia"/>
                <w:snapToGrid w:val="0"/>
                <w:kern w:val="0"/>
                <w:sz w:val="24"/>
                <w:lang w:val="en-US" w:eastAsia="zh-CN"/>
              </w:rPr>
              <w:t>套</w:t>
            </w:r>
            <w:r>
              <w:rPr>
                <w:rFonts w:hint="eastAsia"/>
                <w:snapToGrid w:val="0"/>
                <w:kern w:val="0"/>
                <w:sz w:val="24"/>
              </w:rPr>
              <w:t>袋式除尘器（1#）处理后，由一</w:t>
            </w:r>
            <w:r>
              <w:rPr>
                <w:rFonts w:hint="eastAsia"/>
                <w:snapToGrid w:val="0"/>
                <w:kern w:val="0"/>
                <w:sz w:val="24"/>
                <w:lang w:val="en-US" w:eastAsia="zh-CN"/>
              </w:rPr>
              <w:t>根</w:t>
            </w:r>
            <w:r>
              <w:rPr>
                <w:rFonts w:hint="eastAsia"/>
                <w:snapToGrid w:val="0"/>
                <w:kern w:val="0"/>
                <w:sz w:val="24"/>
              </w:rPr>
              <w:t>15m的排气筒（DA001）排放。</w:t>
            </w:r>
          </w:p>
          <w:p>
            <w:pPr>
              <w:spacing w:line="360" w:lineRule="auto"/>
              <w:ind w:firstLine="480" w:firstLineChars="200"/>
              <w:rPr>
                <w:b/>
                <w:bCs/>
                <w:snapToGrid w:val="0"/>
                <w:kern w:val="0"/>
                <w:sz w:val="24"/>
                <w:u w:val="single"/>
              </w:rPr>
            </w:pPr>
            <w:r>
              <w:rPr>
                <w:rFonts w:hint="eastAsia"/>
                <w:snapToGrid w:val="0"/>
                <w:kern w:val="0"/>
                <w:sz w:val="24"/>
              </w:rPr>
              <w:t>1#除尘器处理风量：8000m</w:t>
            </w:r>
            <w:r>
              <w:rPr>
                <w:rFonts w:hint="eastAsia"/>
                <w:snapToGrid w:val="0"/>
                <w:kern w:val="0"/>
                <w:sz w:val="24"/>
                <w:vertAlign w:val="superscript"/>
              </w:rPr>
              <w:t>3</w:t>
            </w:r>
            <w:r>
              <w:rPr>
                <w:rFonts w:hint="eastAsia"/>
                <w:snapToGrid w:val="0"/>
                <w:kern w:val="0"/>
                <w:sz w:val="24"/>
              </w:rPr>
              <w:t>/h；集气罩集气效率90%；除尘效率：99%。</w:t>
            </w:r>
            <w:r>
              <w:rPr>
                <w:rFonts w:hint="eastAsia"/>
                <w:b/>
                <w:bCs/>
                <w:snapToGrid w:val="0"/>
                <w:kern w:val="0"/>
                <w:sz w:val="24"/>
                <w:u w:val="single"/>
              </w:rPr>
              <w:t>则本项目原料上料工序颗粒物产排情况见表4-2。</w:t>
            </w:r>
          </w:p>
          <w:p>
            <w:pPr>
              <w:pStyle w:val="44"/>
              <w:tabs>
                <w:tab w:val="left" w:pos="895"/>
                <w:tab w:val="clear" w:pos="1322"/>
              </w:tabs>
              <w:spacing w:line="360" w:lineRule="auto"/>
              <w:rPr>
                <w:rFonts w:eastAsia="宋体"/>
                <w:sz w:val="24"/>
                <w:szCs w:val="24"/>
                <w:u w:val="single"/>
              </w:rPr>
            </w:pPr>
            <w:r>
              <w:rPr>
                <w:rFonts w:hint="eastAsia" w:eastAsia="宋体"/>
                <w:sz w:val="24"/>
                <w:szCs w:val="24"/>
                <w:u w:val="single"/>
              </w:rPr>
              <w:t>表4-2    本项目原料上料工序颗粒物产排情况一览表</w:t>
            </w:r>
          </w:p>
          <w:tbl>
            <w:tblPr>
              <w:tblStyle w:val="27"/>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813"/>
              <w:gridCol w:w="812"/>
              <w:gridCol w:w="675"/>
              <w:gridCol w:w="575"/>
              <w:gridCol w:w="750"/>
              <w:gridCol w:w="1413"/>
              <w:gridCol w:w="650"/>
              <w:gridCol w:w="662"/>
              <w:gridCol w:w="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b/>
                      <w:bCs/>
                      <w:snapToGrid w:val="0"/>
                      <w:kern w:val="0"/>
                      <w:sz w:val="18"/>
                      <w:szCs w:val="18"/>
                    </w:rPr>
                  </w:pPr>
                  <w:r>
                    <w:rPr>
                      <w:rFonts w:hint="eastAsia"/>
                      <w:b/>
                      <w:bCs/>
                      <w:snapToGrid w:val="0"/>
                      <w:kern w:val="0"/>
                      <w:sz w:val="18"/>
                      <w:szCs w:val="18"/>
                    </w:rPr>
                    <w:t>方式</w:t>
                  </w:r>
                </w:p>
              </w:tc>
              <w:tc>
                <w:tcPr>
                  <w:tcW w:w="813" w:type="dxa"/>
                  <w:vMerge w:val="restart"/>
                  <w:vAlign w:val="center"/>
                </w:tcPr>
                <w:p>
                  <w:pPr>
                    <w:jc w:val="center"/>
                    <w:rPr>
                      <w:b/>
                      <w:bCs/>
                      <w:snapToGrid w:val="0"/>
                      <w:kern w:val="0"/>
                      <w:sz w:val="18"/>
                      <w:szCs w:val="18"/>
                    </w:rPr>
                  </w:pPr>
                  <w:r>
                    <w:rPr>
                      <w:rFonts w:hint="eastAsia"/>
                      <w:b/>
                      <w:bCs/>
                      <w:snapToGrid w:val="0"/>
                      <w:kern w:val="0"/>
                      <w:sz w:val="18"/>
                      <w:szCs w:val="18"/>
                    </w:rPr>
                    <w:t>污染源</w:t>
                  </w:r>
                </w:p>
              </w:tc>
              <w:tc>
                <w:tcPr>
                  <w:tcW w:w="812" w:type="dxa"/>
                  <w:vMerge w:val="restart"/>
                  <w:vAlign w:val="center"/>
                </w:tcPr>
                <w:p>
                  <w:pPr>
                    <w:jc w:val="center"/>
                    <w:rPr>
                      <w:b/>
                      <w:bCs/>
                      <w:snapToGrid w:val="0"/>
                      <w:kern w:val="0"/>
                      <w:sz w:val="18"/>
                      <w:szCs w:val="18"/>
                    </w:rPr>
                  </w:pPr>
                  <w:r>
                    <w:rPr>
                      <w:rFonts w:hint="eastAsia"/>
                      <w:b/>
                      <w:bCs/>
                      <w:snapToGrid w:val="0"/>
                      <w:kern w:val="0"/>
                      <w:sz w:val="18"/>
                      <w:szCs w:val="18"/>
                    </w:rPr>
                    <w:t>污染物</w:t>
                  </w:r>
                </w:p>
              </w:tc>
              <w:tc>
                <w:tcPr>
                  <w:tcW w:w="1250" w:type="dxa"/>
                  <w:gridSpan w:val="2"/>
                  <w:vAlign w:val="center"/>
                </w:tcPr>
                <w:p>
                  <w:pPr>
                    <w:jc w:val="center"/>
                    <w:rPr>
                      <w:b/>
                      <w:bCs/>
                      <w:snapToGrid w:val="0"/>
                      <w:kern w:val="0"/>
                      <w:sz w:val="18"/>
                      <w:szCs w:val="18"/>
                    </w:rPr>
                  </w:pPr>
                  <w:r>
                    <w:rPr>
                      <w:rFonts w:hint="eastAsia"/>
                      <w:b/>
                      <w:bCs/>
                      <w:snapToGrid w:val="0"/>
                      <w:kern w:val="0"/>
                      <w:sz w:val="18"/>
                      <w:szCs w:val="18"/>
                    </w:rPr>
                    <w:t>产生量</w:t>
                  </w:r>
                </w:p>
              </w:tc>
              <w:tc>
                <w:tcPr>
                  <w:tcW w:w="750" w:type="dxa"/>
                  <w:vMerge w:val="restart"/>
                  <w:vAlign w:val="center"/>
                </w:tcPr>
                <w:p>
                  <w:pPr>
                    <w:jc w:val="center"/>
                    <w:rPr>
                      <w:b/>
                      <w:bCs/>
                      <w:snapToGrid w:val="0"/>
                      <w:kern w:val="0"/>
                      <w:sz w:val="18"/>
                      <w:szCs w:val="18"/>
                    </w:rPr>
                  </w:pPr>
                  <w:r>
                    <w:rPr>
                      <w:rFonts w:hint="eastAsia"/>
                      <w:b/>
                      <w:bCs/>
                      <w:snapToGrid w:val="0"/>
                      <w:kern w:val="0"/>
                      <w:sz w:val="18"/>
                      <w:szCs w:val="18"/>
                    </w:rPr>
                    <w:t>产生浓度mg/m</w:t>
                  </w:r>
                  <w:r>
                    <w:rPr>
                      <w:rFonts w:hint="eastAsia"/>
                      <w:b/>
                      <w:bCs/>
                      <w:snapToGrid w:val="0"/>
                      <w:kern w:val="0"/>
                      <w:sz w:val="18"/>
                      <w:szCs w:val="18"/>
                      <w:vertAlign w:val="superscript"/>
                    </w:rPr>
                    <w:t>3</w:t>
                  </w:r>
                </w:p>
              </w:tc>
              <w:tc>
                <w:tcPr>
                  <w:tcW w:w="1413" w:type="dxa"/>
                  <w:vMerge w:val="restart"/>
                  <w:vAlign w:val="center"/>
                </w:tcPr>
                <w:p>
                  <w:pPr>
                    <w:jc w:val="center"/>
                    <w:rPr>
                      <w:b/>
                      <w:bCs/>
                      <w:snapToGrid w:val="0"/>
                      <w:kern w:val="0"/>
                      <w:sz w:val="18"/>
                      <w:szCs w:val="18"/>
                    </w:rPr>
                  </w:pPr>
                  <w:r>
                    <w:rPr>
                      <w:rFonts w:hint="eastAsia"/>
                      <w:b/>
                      <w:bCs/>
                      <w:snapToGrid w:val="0"/>
                      <w:kern w:val="0"/>
                      <w:sz w:val="18"/>
                      <w:szCs w:val="18"/>
                    </w:rPr>
                    <w:t>处理措施</w:t>
                  </w:r>
                </w:p>
              </w:tc>
              <w:tc>
                <w:tcPr>
                  <w:tcW w:w="1312" w:type="dxa"/>
                  <w:gridSpan w:val="2"/>
                  <w:vAlign w:val="center"/>
                </w:tcPr>
                <w:p>
                  <w:pPr>
                    <w:jc w:val="center"/>
                    <w:rPr>
                      <w:b/>
                      <w:bCs/>
                      <w:snapToGrid w:val="0"/>
                      <w:kern w:val="0"/>
                      <w:sz w:val="18"/>
                      <w:szCs w:val="18"/>
                    </w:rPr>
                  </w:pPr>
                  <w:r>
                    <w:rPr>
                      <w:rFonts w:hint="eastAsia"/>
                      <w:b/>
                      <w:bCs/>
                      <w:snapToGrid w:val="0"/>
                      <w:kern w:val="0"/>
                      <w:sz w:val="18"/>
                      <w:szCs w:val="18"/>
                    </w:rPr>
                    <w:t>排放量</w:t>
                  </w:r>
                </w:p>
              </w:tc>
              <w:tc>
                <w:tcPr>
                  <w:tcW w:w="769"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b/>
                      <w:bCs/>
                      <w:snapToGrid w:val="0"/>
                      <w:kern w:val="0"/>
                      <w:sz w:val="18"/>
                      <w:szCs w:val="18"/>
                    </w:rPr>
                  </w:pPr>
                  <w:r>
                    <w:rPr>
                      <w:rFonts w:hint="eastAsia"/>
                      <w:b/>
                      <w:bCs/>
                      <w:snapToGrid w:val="0"/>
                      <w:kern w:val="0"/>
                      <w:sz w:val="18"/>
                      <w:szCs w:val="18"/>
                    </w:rPr>
                    <w:t>浓度mg/m</w:t>
                  </w:r>
                  <w:r>
                    <w:rPr>
                      <w:rFonts w:hint="eastAsia"/>
                      <w:b/>
                      <w:bCs/>
                      <w:snapToGrid w:val="0"/>
                      <w:kern w:val="0"/>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continue"/>
                  <w:vAlign w:val="center"/>
                </w:tcPr>
                <w:p>
                  <w:pPr>
                    <w:jc w:val="center"/>
                    <w:rPr>
                      <w:b/>
                      <w:bCs/>
                      <w:snapToGrid w:val="0"/>
                      <w:kern w:val="0"/>
                      <w:sz w:val="18"/>
                      <w:szCs w:val="18"/>
                    </w:rPr>
                  </w:pPr>
                </w:p>
              </w:tc>
              <w:tc>
                <w:tcPr>
                  <w:tcW w:w="813" w:type="dxa"/>
                  <w:vMerge w:val="continue"/>
                  <w:vAlign w:val="center"/>
                </w:tcPr>
                <w:p>
                  <w:pPr>
                    <w:jc w:val="center"/>
                    <w:rPr>
                      <w:b/>
                      <w:bCs/>
                      <w:snapToGrid w:val="0"/>
                      <w:kern w:val="0"/>
                      <w:sz w:val="18"/>
                      <w:szCs w:val="18"/>
                    </w:rPr>
                  </w:pPr>
                </w:p>
              </w:tc>
              <w:tc>
                <w:tcPr>
                  <w:tcW w:w="812" w:type="dxa"/>
                  <w:vMerge w:val="continue"/>
                  <w:vAlign w:val="center"/>
                </w:tcPr>
                <w:p>
                  <w:pPr>
                    <w:jc w:val="center"/>
                    <w:rPr>
                      <w:b/>
                      <w:bCs/>
                      <w:snapToGrid w:val="0"/>
                      <w:kern w:val="0"/>
                      <w:sz w:val="18"/>
                      <w:szCs w:val="18"/>
                    </w:rPr>
                  </w:pPr>
                </w:p>
              </w:tc>
              <w:tc>
                <w:tcPr>
                  <w:tcW w:w="675" w:type="dxa"/>
                  <w:vAlign w:val="center"/>
                </w:tcPr>
                <w:p>
                  <w:pPr>
                    <w:jc w:val="center"/>
                    <w:rPr>
                      <w:b/>
                      <w:bCs/>
                      <w:snapToGrid w:val="0"/>
                      <w:kern w:val="0"/>
                      <w:sz w:val="18"/>
                      <w:szCs w:val="18"/>
                    </w:rPr>
                  </w:pPr>
                  <w:r>
                    <w:rPr>
                      <w:rFonts w:hint="eastAsia"/>
                      <w:b/>
                      <w:bCs/>
                      <w:snapToGrid w:val="0"/>
                      <w:kern w:val="0"/>
                      <w:sz w:val="18"/>
                      <w:szCs w:val="18"/>
                    </w:rPr>
                    <w:t>t/a</w:t>
                  </w:r>
                </w:p>
              </w:tc>
              <w:tc>
                <w:tcPr>
                  <w:tcW w:w="575" w:type="dxa"/>
                  <w:vAlign w:val="center"/>
                </w:tcPr>
                <w:p>
                  <w:pPr>
                    <w:jc w:val="center"/>
                    <w:rPr>
                      <w:b/>
                      <w:bCs/>
                      <w:snapToGrid w:val="0"/>
                      <w:kern w:val="0"/>
                      <w:sz w:val="18"/>
                      <w:szCs w:val="18"/>
                    </w:rPr>
                  </w:pPr>
                  <w:r>
                    <w:rPr>
                      <w:rFonts w:hint="eastAsia"/>
                      <w:b/>
                      <w:bCs/>
                      <w:snapToGrid w:val="0"/>
                      <w:kern w:val="0"/>
                      <w:sz w:val="18"/>
                      <w:szCs w:val="18"/>
                    </w:rPr>
                    <w:t>kg/h</w:t>
                  </w:r>
                </w:p>
              </w:tc>
              <w:tc>
                <w:tcPr>
                  <w:tcW w:w="750" w:type="dxa"/>
                  <w:vMerge w:val="continue"/>
                  <w:vAlign w:val="center"/>
                </w:tcPr>
                <w:p>
                  <w:pPr>
                    <w:jc w:val="center"/>
                    <w:rPr>
                      <w:b/>
                      <w:bCs/>
                      <w:snapToGrid w:val="0"/>
                      <w:kern w:val="0"/>
                      <w:sz w:val="18"/>
                      <w:szCs w:val="18"/>
                    </w:rPr>
                  </w:pPr>
                </w:p>
              </w:tc>
              <w:tc>
                <w:tcPr>
                  <w:tcW w:w="1413" w:type="dxa"/>
                  <w:vMerge w:val="continue"/>
                  <w:vAlign w:val="center"/>
                </w:tcPr>
                <w:p>
                  <w:pPr>
                    <w:jc w:val="center"/>
                    <w:rPr>
                      <w:b/>
                      <w:bCs/>
                      <w:snapToGrid w:val="0"/>
                      <w:kern w:val="0"/>
                      <w:sz w:val="18"/>
                      <w:szCs w:val="18"/>
                    </w:rPr>
                  </w:pPr>
                </w:p>
              </w:tc>
              <w:tc>
                <w:tcPr>
                  <w:tcW w:w="650" w:type="dxa"/>
                  <w:vAlign w:val="center"/>
                </w:tcPr>
                <w:p>
                  <w:pPr>
                    <w:jc w:val="center"/>
                    <w:rPr>
                      <w:b/>
                      <w:bCs/>
                      <w:snapToGrid w:val="0"/>
                      <w:kern w:val="0"/>
                      <w:sz w:val="18"/>
                      <w:szCs w:val="18"/>
                    </w:rPr>
                  </w:pPr>
                  <w:r>
                    <w:rPr>
                      <w:rFonts w:hint="eastAsia"/>
                      <w:b/>
                      <w:bCs/>
                      <w:snapToGrid w:val="0"/>
                      <w:kern w:val="0"/>
                      <w:sz w:val="18"/>
                      <w:szCs w:val="18"/>
                    </w:rPr>
                    <w:t>t/a</w:t>
                  </w:r>
                </w:p>
              </w:tc>
              <w:tc>
                <w:tcPr>
                  <w:tcW w:w="662" w:type="dxa"/>
                  <w:vAlign w:val="center"/>
                </w:tcPr>
                <w:p>
                  <w:pPr>
                    <w:jc w:val="center"/>
                    <w:rPr>
                      <w:b/>
                      <w:bCs/>
                      <w:snapToGrid w:val="0"/>
                      <w:kern w:val="0"/>
                      <w:sz w:val="18"/>
                      <w:szCs w:val="18"/>
                    </w:rPr>
                  </w:pPr>
                  <w:r>
                    <w:rPr>
                      <w:rFonts w:hint="eastAsia"/>
                      <w:b/>
                      <w:bCs/>
                      <w:snapToGrid w:val="0"/>
                      <w:kern w:val="0"/>
                      <w:sz w:val="18"/>
                      <w:szCs w:val="18"/>
                    </w:rPr>
                    <w:t>kg/h</w:t>
                  </w:r>
                </w:p>
              </w:tc>
              <w:tc>
                <w:tcPr>
                  <w:tcW w:w="769" w:type="dxa"/>
                  <w:vMerge w:val="continue"/>
                  <w:vAlign w:val="center"/>
                </w:tcPr>
                <w:p>
                  <w:pPr>
                    <w:jc w:val="center"/>
                    <w:rPr>
                      <w:b/>
                      <w:bCs/>
                      <w:snapToGrid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Align w:val="center"/>
                </w:tcPr>
                <w:p>
                  <w:pPr>
                    <w:jc w:val="center"/>
                    <w:rPr>
                      <w:snapToGrid w:val="0"/>
                      <w:kern w:val="0"/>
                      <w:sz w:val="18"/>
                      <w:szCs w:val="18"/>
                    </w:rPr>
                  </w:pPr>
                  <w:r>
                    <w:rPr>
                      <w:rFonts w:hint="eastAsia"/>
                      <w:snapToGrid w:val="0"/>
                      <w:kern w:val="0"/>
                      <w:sz w:val="18"/>
                      <w:szCs w:val="18"/>
                    </w:rPr>
                    <w:t>有组织</w:t>
                  </w:r>
                </w:p>
              </w:tc>
              <w:tc>
                <w:tcPr>
                  <w:tcW w:w="813" w:type="dxa"/>
                  <w:vMerge w:val="restart"/>
                  <w:vAlign w:val="center"/>
                </w:tcPr>
                <w:p>
                  <w:pPr>
                    <w:jc w:val="center"/>
                    <w:rPr>
                      <w:snapToGrid w:val="0"/>
                      <w:kern w:val="0"/>
                      <w:sz w:val="18"/>
                      <w:szCs w:val="18"/>
                    </w:rPr>
                  </w:pPr>
                  <w:r>
                    <w:rPr>
                      <w:rFonts w:hint="eastAsia"/>
                      <w:snapToGrid w:val="0"/>
                      <w:kern w:val="0"/>
                      <w:sz w:val="18"/>
                      <w:szCs w:val="18"/>
                    </w:rPr>
                    <w:t>上料</w:t>
                  </w:r>
                </w:p>
                <w:p>
                  <w:pPr>
                    <w:jc w:val="center"/>
                    <w:rPr>
                      <w:snapToGrid w:val="0"/>
                      <w:kern w:val="0"/>
                      <w:sz w:val="18"/>
                      <w:szCs w:val="18"/>
                    </w:rPr>
                  </w:pPr>
                  <w:r>
                    <w:rPr>
                      <w:rFonts w:hint="eastAsia"/>
                      <w:snapToGrid w:val="0"/>
                      <w:kern w:val="0"/>
                      <w:sz w:val="18"/>
                      <w:szCs w:val="18"/>
                    </w:rPr>
                    <w:t>工序</w:t>
                  </w:r>
                </w:p>
              </w:tc>
              <w:tc>
                <w:tcPr>
                  <w:tcW w:w="812" w:type="dxa"/>
                  <w:vMerge w:val="restart"/>
                  <w:vAlign w:val="center"/>
                </w:tcPr>
                <w:p>
                  <w:pPr>
                    <w:jc w:val="center"/>
                    <w:rPr>
                      <w:snapToGrid w:val="0"/>
                      <w:kern w:val="0"/>
                      <w:sz w:val="18"/>
                      <w:szCs w:val="18"/>
                    </w:rPr>
                  </w:pPr>
                  <w:r>
                    <w:rPr>
                      <w:rFonts w:hint="eastAsia"/>
                      <w:snapToGrid w:val="0"/>
                      <w:kern w:val="0"/>
                      <w:sz w:val="18"/>
                      <w:szCs w:val="18"/>
                    </w:rPr>
                    <w:t>颗粒物</w:t>
                  </w:r>
                </w:p>
              </w:tc>
              <w:tc>
                <w:tcPr>
                  <w:tcW w:w="67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4.24</w:t>
                  </w:r>
                </w:p>
              </w:tc>
              <w:tc>
                <w:tcPr>
                  <w:tcW w:w="57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2.12</w:t>
                  </w:r>
                </w:p>
              </w:tc>
              <w:tc>
                <w:tcPr>
                  <w:tcW w:w="750"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265</w:t>
                  </w:r>
                </w:p>
              </w:tc>
              <w:tc>
                <w:tcPr>
                  <w:tcW w:w="1413" w:type="dxa"/>
                  <w:vAlign w:val="center"/>
                </w:tcPr>
                <w:p>
                  <w:pPr>
                    <w:jc w:val="center"/>
                    <w:rPr>
                      <w:snapToGrid w:val="0"/>
                      <w:kern w:val="0"/>
                      <w:sz w:val="18"/>
                      <w:szCs w:val="18"/>
                    </w:rPr>
                  </w:pPr>
                  <w:r>
                    <w:rPr>
                      <w:rFonts w:hint="eastAsia"/>
                      <w:snapToGrid w:val="0"/>
                      <w:kern w:val="0"/>
                      <w:sz w:val="18"/>
                      <w:szCs w:val="18"/>
                    </w:rPr>
                    <w:t>集气罩+袋式除尘器（1#）+排气筒（DA001）</w:t>
                  </w:r>
                </w:p>
              </w:tc>
              <w:tc>
                <w:tcPr>
                  <w:tcW w:w="650"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0.042</w:t>
                  </w:r>
                </w:p>
              </w:tc>
              <w:tc>
                <w:tcPr>
                  <w:tcW w:w="662" w:type="dxa"/>
                  <w:vAlign w:val="center"/>
                </w:tcPr>
                <w:p>
                  <w:pPr>
                    <w:jc w:val="center"/>
                    <w:rPr>
                      <w:snapToGrid w:val="0"/>
                      <w:kern w:val="0"/>
                      <w:sz w:val="18"/>
                      <w:szCs w:val="18"/>
                    </w:rPr>
                  </w:pPr>
                  <w:r>
                    <w:rPr>
                      <w:rFonts w:hint="eastAsia"/>
                      <w:snapToGrid w:val="0"/>
                      <w:kern w:val="0"/>
                      <w:sz w:val="18"/>
                      <w:szCs w:val="18"/>
                    </w:rPr>
                    <w:t>0.021</w:t>
                  </w:r>
                </w:p>
              </w:tc>
              <w:tc>
                <w:tcPr>
                  <w:tcW w:w="769"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Align w:val="center"/>
                </w:tcPr>
                <w:p>
                  <w:pPr>
                    <w:jc w:val="center"/>
                    <w:rPr>
                      <w:snapToGrid w:val="0"/>
                      <w:kern w:val="0"/>
                      <w:sz w:val="18"/>
                      <w:szCs w:val="18"/>
                    </w:rPr>
                  </w:pPr>
                  <w:r>
                    <w:rPr>
                      <w:rFonts w:hint="eastAsia"/>
                      <w:snapToGrid w:val="0"/>
                      <w:kern w:val="0"/>
                      <w:sz w:val="18"/>
                      <w:szCs w:val="18"/>
                    </w:rPr>
                    <w:t>无组织</w:t>
                  </w:r>
                </w:p>
              </w:tc>
              <w:tc>
                <w:tcPr>
                  <w:tcW w:w="813" w:type="dxa"/>
                  <w:vMerge w:val="continue"/>
                  <w:vAlign w:val="center"/>
                </w:tcPr>
                <w:p>
                  <w:pPr>
                    <w:jc w:val="center"/>
                    <w:rPr>
                      <w:snapToGrid w:val="0"/>
                      <w:kern w:val="0"/>
                      <w:sz w:val="18"/>
                      <w:szCs w:val="18"/>
                    </w:rPr>
                  </w:pPr>
                </w:p>
              </w:tc>
              <w:tc>
                <w:tcPr>
                  <w:tcW w:w="812" w:type="dxa"/>
                  <w:vMerge w:val="continue"/>
                  <w:vAlign w:val="center"/>
                </w:tcPr>
                <w:p>
                  <w:pPr>
                    <w:jc w:val="center"/>
                    <w:rPr>
                      <w:snapToGrid w:val="0"/>
                      <w:kern w:val="0"/>
                      <w:sz w:val="18"/>
                      <w:szCs w:val="18"/>
                    </w:rPr>
                  </w:pPr>
                </w:p>
              </w:tc>
              <w:tc>
                <w:tcPr>
                  <w:tcW w:w="67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0.47</w:t>
                  </w:r>
                </w:p>
              </w:tc>
              <w:tc>
                <w:tcPr>
                  <w:tcW w:w="57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0.24</w:t>
                  </w:r>
                </w:p>
              </w:tc>
              <w:tc>
                <w:tcPr>
                  <w:tcW w:w="750" w:type="dxa"/>
                  <w:vAlign w:val="center"/>
                </w:tcPr>
                <w:p>
                  <w:pPr>
                    <w:jc w:val="center"/>
                    <w:rPr>
                      <w:snapToGrid w:val="0"/>
                      <w:kern w:val="0"/>
                      <w:sz w:val="18"/>
                      <w:szCs w:val="18"/>
                    </w:rPr>
                  </w:pPr>
                  <w:r>
                    <w:rPr>
                      <w:rFonts w:hint="eastAsia"/>
                      <w:snapToGrid w:val="0"/>
                      <w:kern w:val="0"/>
                      <w:sz w:val="18"/>
                      <w:szCs w:val="18"/>
                    </w:rPr>
                    <w:t>/</w:t>
                  </w:r>
                </w:p>
              </w:tc>
              <w:tc>
                <w:tcPr>
                  <w:tcW w:w="1413" w:type="dxa"/>
                  <w:vAlign w:val="center"/>
                </w:tcPr>
                <w:p>
                  <w:pPr>
                    <w:jc w:val="center"/>
                    <w:rPr>
                      <w:snapToGrid w:val="0"/>
                      <w:kern w:val="0"/>
                      <w:sz w:val="18"/>
                      <w:szCs w:val="18"/>
                    </w:rPr>
                  </w:pPr>
                  <w:r>
                    <w:rPr>
                      <w:rFonts w:hint="eastAsia"/>
                      <w:snapToGrid w:val="0"/>
                      <w:kern w:val="0"/>
                      <w:sz w:val="18"/>
                      <w:szCs w:val="18"/>
                    </w:rPr>
                    <w:t>三面封闭，一面安装软帘</w:t>
                  </w:r>
                </w:p>
              </w:tc>
              <w:tc>
                <w:tcPr>
                  <w:tcW w:w="650"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0.047</w:t>
                  </w:r>
                </w:p>
              </w:tc>
              <w:tc>
                <w:tcPr>
                  <w:tcW w:w="6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0.024</w:t>
                  </w:r>
                </w:p>
              </w:tc>
              <w:tc>
                <w:tcPr>
                  <w:tcW w:w="769" w:type="dxa"/>
                  <w:vAlign w:val="center"/>
                </w:tcPr>
                <w:p>
                  <w:pPr>
                    <w:jc w:val="center"/>
                    <w:rPr>
                      <w:snapToGrid w:val="0"/>
                      <w:kern w:val="0"/>
                      <w:sz w:val="18"/>
                      <w:szCs w:val="18"/>
                    </w:rPr>
                  </w:pPr>
                  <w:r>
                    <w:rPr>
                      <w:rFonts w:hint="eastAsia"/>
                      <w:snapToGrid w:val="0"/>
                      <w:kern w:val="0"/>
                      <w:sz w:val="18"/>
                      <w:szCs w:val="18"/>
                    </w:rPr>
                    <w:t>/</w:t>
                  </w:r>
                </w:p>
              </w:tc>
            </w:tr>
          </w:tbl>
          <w:p>
            <w:pPr>
              <w:spacing w:line="360" w:lineRule="auto"/>
              <w:ind w:firstLine="480" w:firstLineChars="200"/>
              <w:rPr>
                <w:snapToGrid w:val="0"/>
                <w:kern w:val="0"/>
                <w:sz w:val="24"/>
              </w:rPr>
            </w:pPr>
            <w:r>
              <w:rPr>
                <w:rFonts w:hint="eastAsia"/>
                <w:snapToGrid w:val="0"/>
                <w:kern w:val="0"/>
                <w:sz w:val="24"/>
              </w:rPr>
              <w:t>由表4-2可知，本项目原料上料工序产生的颗粒物经配备袋式除尘器处理后排放浓度可满足《大气污染物综合排放标准》（GB16297-1996）表2排放限值（120mg/m</w:t>
            </w:r>
            <w:r>
              <w:rPr>
                <w:rFonts w:hint="eastAsia"/>
                <w:snapToGrid w:val="0"/>
                <w:kern w:val="0"/>
                <w:sz w:val="24"/>
                <w:vertAlign w:val="superscript"/>
              </w:rPr>
              <w:t>3</w:t>
            </w:r>
            <w:r>
              <w:rPr>
                <w:rFonts w:hint="eastAsia"/>
                <w:snapToGrid w:val="0"/>
                <w:kern w:val="0"/>
                <w:sz w:val="24"/>
              </w:rPr>
              <w:t>，3.5kg/h）要求。</w:t>
            </w:r>
          </w:p>
          <w:p>
            <w:pPr>
              <w:spacing w:line="360" w:lineRule="auto"/>
              <w:ind w:firstLine="480" w:firstLineChars="200"/>
              <w:rPr>
                <w:snapToGrid w:val="0"/>
                <w:kern w:val="0"/>
                <w:sz w:val="24"/>
              </w:rPr>
            </w:pPr>
            <w:r>
              <w:rPr>
                <w:rFonts w:hint="eastAsia"/>
                <w:snapToGrid w:val="0"/>
                <w:kern w:val="0"/>
                <w:sz w:val="24"/>
              </w:rPr>
              <w:t>（2）破碎工序颗粒物</w:t>
            </w:r>
          </w:p>
          <w:p>
            <w:pPr>
              <w:spacing w:line="360" w:lineRule="auto"/>
              <w:ind w:firstLine="480" w:firstLineChars="200"/>
              <w:rPr>
                <w:snapToGrid w:val="0"/>
                <w:kern w:val="0"/>
                <w:sz w:val="24"/>
              </w:rPr>
            </w:pPr>
            <w:r>
              <w:rPr>
                <w:rFonts w:hint="eastAsia"/>
                <w:snapToGrid w:val="0"/>
                <w:kern w:val="0"/>
                <w:sz w:val="24"/>
              </w:rPr>
              <w:t>本次评价破碎工序起尘量参考《逸散性工业粉尘控制技术》（出版日期1989年）及《工业污染核算》（出版日期2007年）中相关技术参数，确定破碎工序粉尘产物系数为0.25kg/t-物料。本项目破碎料为</w:t>
            </w:r>
            <w:r>
              <w:rPr>
                <w:rFonts w:hint="eastAsia"/>
                <w:snapToGrid w:val="0"/>
                <w:kern w:val="0"/>
                <w:sz w:val="24"/>
                <w:lang w:val="en-US" w:eastAsia="zh-CN"/>
              </w:rPr>
              <w:t>94000.46</w:t>
            </w:r>
            <w:r>
              <w:rPr>
                <w:rFonts w:hint="eastAsia"/>
                <w:snapToGrid w:val="0"/>
                <w:kern w:val="0"/>
                <w:sz w:val="24"/>
              </w:rPr>
              <w:t>t/a，则粉尘产生量为</w:t>
            </w:r>
            <w:r>
              <w:rPr>
                <w:rFonts w:hint="eastAsia"/>
                <w:snapToGrid w:val="0"/>
                <w:kern w:val="0"/>
                <w:sz w:val="24"/>
                <w:lang w:val="en-US" w:eastAsia="zh-CN"/>
              </w:rPr>
              <w:t>23.50</w:t>
            </w:r>
            <w:r>
              <w:rPr>
                <w:rFonts w:hint="eastAsia"/>
                <w:snapToGrid w:val="0"/>
                <w:kern w:val="0"/>
                <w:sz w:val="24"/>
              </w:rPr>
              <w:t>t/a。</w:t>
            </w:r>
          </w:p>
          <w:p>
            <w:pPr>
              <w:spacing w:line="360" w:lineRule="auto"/>
              <w:ind w:firstLine="480" w:firstLineChars="200"/>
              <w:rPr>
                <w:snapToGrid w:val="0"/>
                <w:kern w:val="0"/>
                <w:sz w:val="24"/>
              </w:rPr>
            </w:pPr>
            <w:r>
              <w:rPr>
                <w:rFonts w:hint="eastAsia"/>
                <w:snapToGrid w:val="0"/>
                <w:kern w:val="0"/>
                <w:sz w:val="24"/>
              </w:rPr>
              <w:t>结合本项目的工艺配置、设备布置等情况，评价要求对本项目1台</w:t>
            </w:r>
            <w:r>
              <w:rPr>
                <w:rFonts w:hint="eastAsia"/>
                <w:snapToGrid w:val="0"/>
                <w:kern w:val="0"/>
                <w:sz w:val="24"/>
                <w:lang w:val="en-US" w:eastAsia="zh-CN"/>
              </w:rPr>
              <w:t>原矿石粉碎机</w:t>
            </w:r>
            <w:r>
              <w:rPr>
                <w:rFonts w:hint="eastAsia"/>
                <w:snapToGrid w:val="0"/>
                <w:kern w:val="0"/>
                <w:sz w:val="24"/>
              </w:rPr>
              <w:t>上方设置一个集气罩，共计1个集气罩，收集的废气通过一</w:t>
            </w:r>
            <w:r>
              <w:rPr>
                <w:rFonts w:hint="eastAsia"/>
                <w:snapToGrid w:val="0"/>
                <w:kern w:val="0"/>
                <w:sz w:val="24"/>
                <w:lang w:val="en-US" w:eastAsia="zh-CN"/>
              </w:rPr>
              <w:t>套</w:t>
            </w:r>
            <w:r>
              <w:rPr>
                <w:rFonts w:hint="eastAsia"/>
                <w:snapToGrid w:val="0"/>
                <w:kern w:val="0"/>
                <w:sz w:val="24"/>
              </w:rPr>
              <w:t>袋式除尘器（2#）处理后，由一</w:t>
            </w:r>
            <w:r>
              <w:rPr>
                <w:rFonts w:hint="eastAsia"/>
                <w:snapToGrid w:val="0"/>
                <w:kern w:val="0"/>
                <w:sz w:val="24"/>
                <w:lang w:val="en-US" w:eastAsia="zh-CN"/>
              </w:rPr>
              <w:t>根</w:t>
            </w:r>
            <w:r>
              <w:rPr>
                <w:rFonts w:hint="eastAsia"/>
                <w:snapToGrid w:val="0"/>
                <w:kern w:val="0"/>
                <w:sz w:val="24"/>
              </w:rPr>
              <w:t>15m的排气筒（DA001）排放。</w:t>
            </w:r>
          </w:p>
          <w:p>
            <w:pPr>
              <w:spacing w:line="360" w:lineRule="auto"/>
              <w:ind w:firstLine="480" w:firstLineChars="200"/>
              <w:rPr>
                <w:b/>
                <w:bCs/>
                <w:snapToGrid w:val="0"/>
                <w:kern w:val="0"/>
                <w:sz w:val="24"/>
                <w:u w:val="single"/>
              </w:rPr>
            </w:pPr>
            <w:r>
              <w:rPr>
                <w:rFonts w:hint="eastAsia"/>
                <w:snapToGrid w:val="0"/>
                <w:kern w:val="0"/>
                <w:sz w:val="24"/>
              </w:rPr>
              <w:t>2#除尘器处理风量：12000m</w:t>
            </w:r>
            <w:r>
              <w:rPr>
                <w:rFonts w:hint="eastAsia"/>
                <w:snapToGrid w:val="0"/>
                <w:kern w:val="0"/>
                <w:sz w:val="24"/>
                <w:vertAlign w:val="superscript"/>
              </w:rPr>
              <w:t>3</w:t>
            </w:r>
            <w:r>
              <w:rPr>
                <w:rFonts w:hint="eastAsia"/>
                <w:snapToGrid w:val="0"/>
                <w:kern w:val="0"/>
                <w:sz w:val="24"/>
              </w:rPr>
              <w:t>/h；集气罩集气效率90%；除尘效率：99%。</w:t>
            </w:r>
            <w:r>
              <w:rPr>
                <w:rFonts w:hint="eastAsia"/>
                <w:b/>
                <w:bCs/>
                <w:snapToGrid w:val="0"/>
                <w:kern w:val="0"/>
                <w:sz w:val="24"/>
                <w:u w:val="single"/>
              </w:rPr>
              <w:t>则本项目原料上料工序颗粒物产排情况见表4-3。</w:t>
            </w:r>
          </w:p>
          <w:p>
            <w:pPr>
              <w:pStyle w:val="44"/>
              <w:tabs>
                <w:tab w:val="left" w:pos="895"/>
                <w:tab w:val="clear" w:pos="1322"/>
              </w:tabs>
              <w:spacing w:line="360" w:lineRule="auto"/>
              <w:rPr>
                <w:rFonts w:eastAsia="宋体"/>
                <w:sz w:val="24"/>
                <w:szCs w:val="24"/>
                <w:u w:val="single"/>
              </w:rPr>
            </w:pPr>
            <w:r>
              <w:rPr>
                <w:rFonts w:hint="eastAsia" w:eastAsia="宋体"/>
                <w:sz w:val="24"/>
                <w:szCs w:val="24"/>
                <w:u w:val="single"/>
              </w:rPr>
              <w:t>表4-3    本项目原料上料工序颗粒物产排情况一览表</w:t>
            </w:r>
          </w:p>
          <w:tbl>
            <w:tblPr>
              <w:tblStyle w:val="27"/>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787"/>
              <w:gridCol w:w="775"/>
              <w:gridCol w:w="663"/>
              <w:gridCol w:w="675"/>
              <w:gridCol w:w="737"/>
              <w:gridCol w:w="1638"/>
              <w:gridCol w:w="562"/>
              <w:gridCol w:w="563"/>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5"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b/>
                      <w:bCs/>
                      <w:snapToGrid w:val="0"/>
                      <w:kern w:val="0"/>
                      <w:sz w:val="18"/>
                      <w:szCs w:val="18"/>
                    </w:rPr>
                  </w:pPr>
                  <w:r>
                    <w:rPr>
                      <w:rFonts w:hint="eastAsia"/>
                      <w:b/>
                      <w:bCs/>
                      <w:snapToGrid w:val="0"/>
                      <w:kern w:val="0"/>
                      <w:sz w:val="18"/>
                      <w:szCs w:val="18"/>
                    </w:rPr>
                    <w:t>方式</w:t>
                  </w:r>
                </w:p>
              </w:tc>
              <w:tc>
                <w:tcPr>
                  <w:tcW w:w="787" w:type="dxa"/>
                  <w:vMerge w:val="restart"/>
                  <w:vAlign w:val="center"/>
                </w:tcPr>
                <w:p>
                  <w:pPr>
                    <w:jc w:val="center"/>
                    <w:rPr>
                      <w:b/>
                      <w:bCs/>
                      <w:snapToGrid w:val="0"/>
                      <w:kern w:val="0"/>
                      <w:sz w:val="18"/>
                      <w:szCs w:val="18"/>
                    </w:rPr>
                  </w:pPr>
                  <w:r>
                    <w:rPr>
                      <w:rFonts w:hint="eastAsia"/>
                      <w:b/>
                      <w:bCs/>
                      <w:snapToGrid w:val="0"/>
                      <w:kern w:val="0"/>
                      <w:sz w:val="18"/>
                      <w:szCs w:val="18"/>
                    </w:rPr>
                    <w:t>污染源</w:t>
                  </w:r>
                </w:p>
              </w:tc>
              <w:tc>
                <w:tcPr>
                  <w:tcW w:w="775" w:type="dxa"/>
                  <w:vMerge w:val="restart"/>
                  <w:vAlign w:val="center"/>
                </w:tcPr>
                <w:p>
                  <w:pPr>
                    <w:jc w:val="center"/>
                    <w:rPr>
                      <w:b/>
                      <w:bCs/>
                      <w:snapToGrid w:val="0"/>
                      <w:kern w:val="0"/>
                      <w:sz w:val="18"/>
                      <w:szCs w:val="18"/>
                    </w:rPr>
                  </w:pPr>
                  <w:r>
                    <w:rPr>
                      <w:rFonts w:hint="eastAsia"/>
                      <w:b/>
                      <w:bCs/>
                      <w:snapToGrid w:val="0"/>
                      <w:kern w:val="0"/>
                      <w:sz w:val="18"/>
                      <w:szCs w:val="18"/>
                    </w:rPr>
                    <w:t>污染物</w:t>
                  </w:r>
                </w:p>
              </w:tc>
              <w:tc>
                <w:tcPr>
                  <w:tcW w:w="1338" w:type="dxa"/>
                  <w:gridSpan w:val="2"/>
                  <w:vAlign w:val="center"/>
                </w:tcPr>
                <w:p>
                  <w:pPr>
                    <w:jc w:val="center"/>
                    <w:rPr>
                      <w:b/>
                      <w:bCs/>
                      <w:snapToGrid w:val="0"/>
                      <w:kern w:val="0"/>
                      <w:sz w:val="18"/>
                      <w:szCs w:val="18"/>
                    </w:rPr>
                  </w:pPr>
                  <w:r>
                    <w:rPr>
                      <w:rFonts w:hint="eastAsia"/>
                      <w:b/>
                      <w:bCs/>
                      <w:snapToGrid w:val="0"/>
                      <w:kern w:val="0"/>
                      <w:sz w:val="18"/>
                      <w:szCs w:val="18"/>
                    </w:rPr>
                    <w:t>产生量</w:t>
                  </w:r>
                </w:p>
              </w:tc>
              <w:tc>
                <w:tcPr>
                  <w:tcW w:w="737" w:type="dxa"/>
                  <w:vMerge w:val="restart"/>
                  <w:vAlign w:val="center"/>
                </w:tcPr>
                <w:p>
                  <w:pPr>
                    <w:jc w:val="center"/>
                    <w:rPr>
                      <w:b/>
                      <w:bCs/>
                      <w:snapToGrid w:val="0"/>
                      <w:kern w:val="0"/>
                      <w:sz w:val="18"/>
                      <w:szCs w:val="18"/>
                    </w:rPr>
                  </w:pPr>
                  <w:r>
                    <w:rPr>
                      <w:rFonts w:hint="eastAsia"/>
                      <w:b/>
                      <w:bCs/>
                      <w:snapToGrid w:val="0"/>
                      <w:kern w:val="0"/>
                      <w:sz w:val="18"/>
                      <w:szCs w:val="18"/>
                    </w:rPr>
                    <w:t>产生浓度mg/m</w:t>
                  </w:r>
                  <w:r>
                    <w:rPr>
                      <w:rFonts w:hint="eastAsia"/>
                      <w:b/>
                      <w:bCs/>
                      <w:snapToGrid w:val="0"/>
                      <w:kern w:val="0"/>
                      <w:sz w:val="18"/>
                      <w:szCs w:val="18"/>
                      <w:vertAlign w:val="superscript"/>
                    </w:rPr>
                    <w:t>3</w:t>
                  </w:r>
                </w:p>
              </w:tc>
              <w:tc>
                <w:tcPr>
                  <w:tcW w:w="1638" w:type="dxa"/>
                  <w:vMerge w:val="restart"/>
                  <w:vAlign w:val="center"/>
                </w:tcPr>
                <w:p>
                  <w:pPr>
                    <w:jc w:val="center"/>
                    <w:rPr>
                      <w:b/>
                      <w:bCs/>
                      <w:snapToGrid w:val="0"/>
                      <w:kern w:val="0"/>
                      <w:sz w:val="18"/>
                      <w:szCs w:val="18"/>
                    </w:rPr>
                  </w:pPr>
                  <w:r>
                    <w:rPr>
                      <w:rFonts w:hint="eastAsia"/>
                      <w:b/>
                      <w:bCs/>
                      <w:snapToGrid w:val="0"/>
                      <w:kern w:val="0"/>
                      <w:sz w:val="18"/>
                      <w:szCs w:val="18"/>
                    </w:rPr>
                    <w:t>处理措施</w:t>
                  </w:r>
                </w:p>
              </w:tc>
              <w:tc>
                <w:tcPr>
                  <w:tcW w:w="1125" w:type="dxa"/>
                  <w:gridSpan w:val="2"/>
                  <w:vAlign w:val="center"/>
                </w:tcPr>
                <w:p>
                  <w:pPr>
                    <w:jc w:val="center"/>
                    <w:rPr>
                      <w:b/>
                      <w:bCs/>
                      <w:snapToGrid w:val="0"/>
                      <w:kern w:val="0"/>
                      <w:sz w:val="18"/>
                      <w:szCs w:val="18"/>
                    </w:rPr>
                  </w:pPr>
                  <w:r>
                    <w:rPr>
                      <w:rFonts w:hint="eastAsia"/>
                      <w:b/>
                      <w:bCs/>
                      <w:snapToGrid w:val="0"/>
                      <w:kern w:val="0"/>
                      <w:sz w:val="18"/>
                      <w:szCs w:val="18"/>
                    </w:rPr>
                    <w:t>排放量</w:t>
                  </w:r>
                </w:p>
              </w:tc>
              <w:tc>
                <w:tcPr>
                  <w:tcW w:w="731"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b/>
                      <w:bCs/>
                      <w:snapToGrid w:val="0"/>
                      <w:kern w:val="0"/>
                      <w:sz w:val="18"/>
                      <w:szCs w:val="18"/>
                    </w:rPr>
                  </w:pPr>
                  <w:r>
                    <w:rPr>
                      <w:rFonts w:hint="eastAsia"/>
                      <w:b/>
                      <w:bCs/>
                      <w:snapToGrid w:val="0"/>
                      <w:kern w:val="0"/>
                      <w:sz w:val="18"/>
                      <w:szCs w:val="18"/>
                    </w:rPr>
                    <w:t>浓度mg/m</w:t>
                  </w:r>
                  <w:r>
                    <w:rPr>
                      <w:rFonts w:hint="eastAsia"/>
                      <w:b/>
                      <w:bCs/>
                      <w:snapToGrid w:val="0"/>
                      <w:kern w:val="0"/>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5" w:type="dxa"/>
                  <w:vMerge w:val="continue"/>
                  <w:vAlign w:val="center"/>
                </w:tcPr>
                <w:p>
                  <w:pPr>
                    <w:jc w:val="center"/>
                    <w:rPr>
                      <w:b/>
                      <w:bCs/>
                      <w:snapToGrid w:val="0"/>
                      <w:kern w:val="0"/>
                      <w:sz w:val="18"/>
                      <w:szCs w:val="18"/>
                    </w:rPr>
                  </w:pPr>
                </w:p>
              </w:tc>
              <w:tc>
                <w:tcPr>
                  <w:tcW w:w="787" w:type="dxa"/>
                  <w:vMerge w:val="continue"/>
                  <w:vAlign w:val="center"/>
                </w:tcPr>
                <w:p>
                  <w:pPr>
                    <w:jc w:val="center"/>
                    <w:rPr>
                      <w:b/>
                      <w:bCs/>
                      <w:snapToGrid w:val="0"/>
                      <w:kern w:val="0"/>
                      <w:sz w:val="18"/>
                      <w:szCs w:val="18"/>
                    </w:rPr>
                  </w:pPr>
                </w:p>
              </w:tc>
              <w:tc>
                <w:tcPr>
                  <w:tcW w:w="775" w:type="dxa"/>
                  <w:vMerge w:val="continue"/>
                  <w:vAlign w:val="center"/>
                </w:tcPr>
                <w:p>
                  <w:pPr>
                    <w:jc w:val="center"/>
                    <w:rPr>
                      <w:b/>
                      <w:bCs/>
                      <w:snapToGrid w:val="0"/>
                      <w:kern w:val="0"/>
                      <w:sz w:val="18"/>
                      <w:szCs w:val="18"/>
                    </w:rPr>
                  </w:pPr>
                </w:p>
              </w:tc>
              <w:tc>
                <w:tcPr>
                  <w:tcW w:w="663" w:type="dxa"/>
                  <w:vAlign w:val="center"/>
                </w:tcPr>
                <w:p>
                  <w:pPr>
                    <w:jc w:val="center"/>
                    <w:rPr>
                      <w:b/>
                      <w:bCs/>
                      <w:snapToGrid w:val="0"/>
                      <w:kern w:val="0"/>
                      <w:sz w:val="18"/>
                      <w:szCs w:val="18"/>
                    </w:rPr>
                  </w:pPr>
                  <w:r>
                    <w:rPr>
                      <w:rFonts w:hint="eastAsia"/>
                      <w:b/>
                      <w:bCs/>
                      <w:snapToGrid w:val="0"/>
                      <w:kern w:val="0"/>
                      <w:sz w:val="18"/>
                      <w:szCs w:val="18"/>
                    </w:rPr>
                    <w:t>t/a</w:t>
                  </w:r>
                </w:p>
              </w:tc>
              <w:tc>
                <w:tcPr>
                  <w:tcW w:w="675" w:type="dxa"/>
                  <w:vAlign w:val="center"/>
                </w:tcPr>
                <w:p>
                  <w:pPr>
                    <w:jc w:val="center"/>
                    <w:rPr>
                      <w:b/>
                      <w:bCs/>
                      <w:snapToGrid w:val="0"/>
                      <w:kern w:val="0"/>
                      <w:sz w:val="18"/>
                      <w:szCs w:val="18"/>
                    </w:rPr>
                  </w:pPr>
                  <w:r>
                    <w:rPr>
                      <w:rFonts w:hint="eastAsia"/>
                      <w:b/>
                      <w:bCs/>
                      <w:snapToGrid w:val="0"/>
                      <w:kern w:val="0"/>
                      <w:sz w:val="18"/>
                      <w:szCs w:val="18"/>
                    </w:rPr>
                    <w:t>kg/h</w:t>
                  </w:r>
                </w:p>
              </w:tc>
              <w:tc>
                <w:tcPr>
                  <w:tcW w:w="737" w:type="dxa"/>
                  <w:vMerge w:val="continue"/>
                  <w:vAlign w:val="center"/>
                </w:tcPr>
                <w:p>
                  <w:pPr>
                    <w:jc w:val="center"/>
                    <w:rPr>
                      <w:b/>
                      <w:bCs/>
                      <w:snapToGrid w:val="0"/>
                      <w:kern w:val="0"/>
                      <w:sz w:val="18"/>
                      <w:szCs w:val="18"/>
                    </w:rPr>
                  </w:pPr>
                </w:p>
              </w:tc>
              <w:tc>
                <w:tcPr>
                  <w:tcW w:w="1638" w:type="dxa"/>
                  <w:vMerge w:val="continue"/>
                  <w:vAlign w:val="center"/>
                </w:tcPr>
                <w:p>
                  <w:pPr>
                    <w:jc w:val="center"/>
                    <w:rPr>
                      <w:b/>
                      <w:bCs/>
                      <w:snapToGrid w:val="0"/>
                      <w:kern w:val="0"/>
                      <w:sz w:val="18"/>
                      <w:szCs w:val="18"/>
                    </w:rPr>
                  </w:pPr>
                </w:p>
              </w:tc>
              <w:tc>
                <w:tcPr>
                  <w:tcW w:w="562" w:type="dxa"/>
                  <w:vAlign w:val="center"/>
                </w:tcPr>
                <w:p>
                  <w:pPr>
                    <w:jc w:val="center"/>
                    <w:rPr>
                      <w:b/>
                      <w:bCs/>
                      <w:snapToGrid w:val="0"/>
                      <w:kern w:val="0"/>
                      <w:sz w:val="18"/>
                      <w:szCs w:val="18"/>
                    </w:rPr>
                  </w:pPr>
                  <w:r>
                    <w:rPr>
                      <w:rFonts w:hint="eastAsia"/>
                      <w:b/>
                      <w:bCs/>
                      <w:snapToGrid w:val="0"/>
                      <w:kern w:val="0"/>
                      <w:sz w:val="18"/>
                      <w:szCs w:val="18"/>
                    </w:rPr>
                    <w:t>t/a</w:t>
                  </w:r>
                </w:p>
              </w:tc>
              <w:tc>
                <w:tcPr>
                  <w:tcW w:w="563" w:type="dxa"/>
                  <w:vAlign w:val="center"/>
                </w:tcPr>
                <w:p>
                  <w:pPr>
                    <w:jc w:val="center"/>
                    <w:rPr>
                      <w:b/>
                      <w:bCs/>
                      <w:snapToGrid w:val="0"/>
                      <w:kern w:val="0"/>
                      <w:sz w:val="18"/>
                      <w:szCs w:val="18"/>
                    </w:rPr>
                  </w:pPr>
                  <w:r>
                    <w:rPr>
                      <w:rFonts w:hint="eastAsia"/>
                      <w:b/>
                      <w:bCs/>
                      <w:snapToGrid w:val="0"/>
                      <w:kern w:val="0"/>
                      <w:sz w:val="18"/>
                      <w:szCs w:val="18"/>
                    </w:rPr>
                    <w:t>kg/h</w:t>
                  </w:r>
                </w:p>
              </w:tc>
              <w:tc>
                <w:tcPr>
                  <w:tcW w:w="731" w:type="dxa"/>
                  <w:vMerge w:val="continue"/>
                  <w:vAlign w:val="center"/>
                </w:tcPr>
                <w:p>
                  <w:pPr>
                    <w:jc w:val="center"/>
                    <w:rPr>
                      <w:b/>
                      <w:bCs/>
                      <w:snapToGrid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15" w:type="dxa"/>
                  <w:vAlign w:val="center"/>
                </w:tcPr>
                <w:p>
                  <w:pPr>
                    <w:jc w:val="center"/>
                    <w:rPr>
                      <w:snapToGrid w:val="0"/>
                      <w:kern w:val="0"/>
                      <w:sz w:val="18"/>
                      <w:szCs w:val="18"/>
                    </w:rPr>
                  </w:pPr>
                  <w:r>
                    <w:rPr>
                      <w:rFonts w:hint="eastAsia"/>
                      <w:snapToGrid w:val="0"/>
                      <w:kern w:val="0"/>
                      <w:sz w:val="18"/>
                      <w:szCs w:val="18"/>
                    </w:rPr>
                    <w:t>有组织</w:t>
                  </w:r>
                </w:p>
              </w:tc>
              <w:tc>
                <w:tcPr>
                  <w:tcW w:w="787" w:type="dxa"/>
                  <w:vMerge w:val="restart"/>
                  <w:vAlign w:val="center"/>
                </w:tcPr>
                <w:p>
                  <w:pPr>
                    <w:jc w:val="center"/>
                    <w:rPr>
                      <w:snapToGrid w:val="0"/>
                      <w:kern w:val="0"/>
                      <w:sz w:val="18"/>
                      <w:szCs w:val="18"/>
                    </w:rPr>
                  </w:pPr>
                  <w:r>
                    <w:rPr>
                      <w:rFonts w:hint="eastAsia"/>
                      <w:snapToGrid w:val="0"/>
                      <w:kern w:val="0"/>
                      <w:sz w:val="18"/>
                      <w:szCs w:val="18"/>
                    </w:rPr>
                    <w:t>破碎</w:t>
                  </w:r>
                </w:p>
                <w:p>
                  <w:pPr>
                    <w:jc w:val="center"/>
                    <w:rPr>
                      <w:snapToGrid w:val="0"/>
                      <w:kern w:val="0"/>
                      <w:sz w:val="18"/>
                      <w:szCs w:val="18"/>
                    </w:rPr>
                  </w:pPr>
                  <w:r>
                    <w:rPr>
                      <w:rFonts w:hint="eastAsia"/>
                      <w:snapToGrid w:val="0"/>
                      <w:kern w:val="0"/>
                      <w:sz w:val="18"/>
                      <w:szCs w:val="18"/>
                    </w:rPr>
                    <w:t>工序</w:t>
                  </w:r>
                </w:p>
              </w:tc>
              <w:tc>
                <w:tcPr>
                  <w:tcW w:w="775" w:type="dxa"/>
                  <w:vMerge w:val="restart"/>
                  <w:vAlign w:val="center"/>
                </w:tcPr>
                <w:p>
                  <w:pPr>
                    <w:jc w:val="center"/>
                    <w:rPr>
                      <w:snapToGrid w:val="0"/>
                      <w:kern w:val="0"/>
                      <w:sz w:val="18"/>
                      <w:szCs w:val="18"/>
                    </w:rPr>
                  </w:pPr>
                  <w:r>
                    <w:rPr>
                      <w:rFonts w:hint="eastAsia"/>
                      <w:snapToGrid w:val="0"/>
                      <w:kern w:val="0"/>
                      <w:sz w:val="18"/>
                      <w:szCs w:val="18"/>
                    </w:rPr>
                    <w:t>颗粒物</w:t>
                  </w:r>
                </w:p>
              </w:tc>
              <w:tc>
                <w:tcPr>
                  <w:tcW w:w="6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21.15</w:t>
                  </w:r>
                </w:p>
              </w:tc>
              <w:tc>
                <w:tcPr>
                  <w:tcW w:w="67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10.58</w:t>
                  </w:r>
                </w:p>
              </w:tc>
              <w:tc>
                <w:tcPr>
                  <w:tcW w:w="73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881.25</w:t>
                  </w:r>
                </w:p>
              </w:tc>
              <w:tc>
                <w:tcPr>
                  <w:tcW w:w="1638" w:type="dxa"/>
                  <w:vAlign w:val="center"/>
                </w:tcPr>
                <w:p>
                  <w:pPr>
                    <w:jc w:val="center"/>
                    <w:rPr>
                      <w:snapToGrid w:val="0"/>
                      <w:kern w:val="0"/>
                      <w:sz w:val="18"/>
                      <w:szCs w:val="18"/>
                    </w:rPr>
                  </w:pPr>
                  <w:r>
                    <w:rPr>
                      <w:rFonts w:hint="eastAsia"/>
                      <w:snapToGrid w:val="0"/>
                      <w:kern w:val="0"/>
                      <w:sz w:val="18"/>
                      <w:szCs w:val="18"/>
                    </w:rPr>
                    <w:t>集气罩+袋式除尘器（2#）+排气筒（DA001）</w:t>
                  </w:r>
                </w:p>
              </w:tc>
              <w:tc>
                <w:tcPr>
                  <w:tcW w:w="5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0.21</w:t>
                  </w:r>
                </w:p>
              </w:tc>
              <w:tc>
                <w:tcPr>
                  <w:tcW w:w="5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0.11</w:t>
                  </w:r>
                </w:p>
              </w:tc>
              <w:tc>
                <w:tcPr>
                  <w:tcW w:w="731"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815" w:type="dxa"/>
                  <w:vAlign w:val="center"/>
                </w:tcPr>
                <w:p>
                  <w:pPr>
                    <w:jc w:val="center"/>
                    <w:rPr>
                      <w:snapToGrid w:val="0"/>
                      <w:kern w:val="0"/>
                      <w:sz w:val="18"/>
                      <w:szCs w:val="18"/>
                    </w:rPr>
                  </w:pPr>
                  <w:r>
                    <w:rPr>
                      <w:rFonts w:hint="eastAsia"/>
                      <w:snapToGrid w:val="0"/>
                      <w:kern w:val="0"/>
                      <w:sz w:val="18"/>
                      <w:szCs w:val="18"/>
                    </w:rPr>
                    <w:t>无组织</w:t>
                  </w:r>
                </w:p>
              </w:tc>
              <w:tc>
                <w:tcPr>
                  <w:tcW w:w="787" w:type="dxa"/>
                  <w:vMerge w:val="continue"/>
                  <w:vAlign w:val="center"/>
                </w:tcPr>
                <w:p>
                  <w:pPr>
                    <w:jc w:val="center"/>
                    <w:rPr>
                      <w:snapToGrid w:val="0"/>
                      <w:kern w:val="0"/>
                      <w:sz w:val="18"/>
                      <w:szCs w:val="18"/>
                    </w:rPr>
                  </w:pPr>
                </w:p>
              </w:tc>
              <w:tc>
                <w:tcPr>
                  <w:tcW w:w="775" w:type="dxa"/>
                  <w:vMerge w:val="continue"/>
                  <w:vAlign w:val="center"/>
                </w:tcPr>
                <w:p>
                  <w:pPr>
                    <w:jc w:val="center"/>
                    <w:rPr>
                      <w:snapToGrid w:val="0"/>
                      <w:kern w:val="0"/>
                      <w:sz w:val="18"/>
                      <w:szCs w:val="18"/>
                    </w:rPr>
                  </w:pPr>
                </w:p>
              </w:tc>
              <w:tc>
                <w:tcPr>
                  <w:tcW w:w="6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2.35</w:t>
                  </w:r>
                </w:p>
              </w:tc>
              <w:tc>
                <w:tcPr>
                  <w:tcW w:w="67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1.18</w:t>
                  </w:r>
                </w:p>
              </w:tc>
              <w:tc>
                <w:tcPr>
                  <w:tcW w:w="737" w:type="dxa"/>
                  <w:vAlign w:val="center"/>
                </w:tcPr>
                <w:p>
                  <w:pPr>
                    <w:jc w:val="center"/>
                    <w:rPr>
                      <w:snapToGrid w:val="0"/>
                      <w:kern w:val="0"/>
                      <w:sz w:val="18"/>
                      <w:szCs w:val="18"/>
                    </w:rPr>
                  </w:pPr>
                  <w:r>
                    <w:rPr>
                      <w:rFonts w:hint="eastAsia"/>
                      <w:snapToGrid w:val="0"/>
                      <w:kern w:val="0"/>
                      <w:sz w:val="18"/>
                      <w:szCs w:val="18"/>
                    </w:rPr>
                    <w:t>/</w:t>
                  </w:r>
                </w:p>
              </w:tc>
              <w:tc>
                <w:tcPr>
                  <w:tcW w:w="1638" w:type="dxa"/>
                  <w:vAlign w:val="center"/>
                </w:tcPr>
                <w:p>
                  <w:pPr>
                    <w:jc w:val="center"/>
                    <w:rPr>
                      <w:snapToGrid w:val="0"/>
                      <w:kern w:val="0"/>
                      <w:sz w:val="18"/>
                      <w:szCs w:val="18"/>
                    </w:rPr>
                  </w:pPr>
                  <w:r>
                    <w:rPr>
                      <w:rFonts w:hint="eastAsia"/>
                      <w:snapToGrid w:val="0"/>
                      <w:kern w:val="0"/>
                      <w:sz w:val="18"/>
                      <w:szCs w:val="18"/>
                    </w:rPr>
                    <w:t>/</w:t>
                  </w:r>
                </w:p>
              </w:tc>
              <w:tc>
                <w:tcPr>
                  <w:tcW w:w="5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0.24</w:t>
                  </w:r>
                </w:p>
              </w:tc>
              <w:tc>
                <w:tcPr>
                  <w:tcW w:w="5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0.12</w:t>
                  </w:r>
                </w:p>
              </w:tc>
              <w:tc>
                <w:tcPr>
                  <w:tcW w:w="731" w:type="dxa"/>
                  <w:vAlign w:val="center"/>
                </w:tcPr>
                <w:p>
                  <w:pPr>
                    <w:jc w:val="center"/>
                    <w:rPr>
                      <w:snapToGrid w:val="0"/>
                      <w:kern w:val="0"/>
                      <w:sz w:val="18"/>
                      <w:szCs w:val="18"/>
                    </w:rPr>
                  </w:pPr>
                  <w:r>
                    <w:rPr>
                      <w:rFonts w:hint="eastAsia"/>
                      <w:snapToGrid w:val="0"/>
                      <w:kern w:val="0"/>
                      <w:sz w:val="18"/>
                      <w:szCs w:val="18"/>
                    </w:rPr>
                    <w:t>/</w:t>
                  </w:r>
                </w:p>
              </w:tc>
            </w:tr>
          </w:tbl>
          <w:p>
            <w:pPr>
              <w:spacing w:line="360" w:lineRule="auto"/>
              <w:ind w:firstLine="480" w:firstLineChars="200"/>
              <w:rPr>
                <w:snapToGrid w:val="0"/>
                <w:kern w:val="0"/>
                <w:sz w:val="24"/>
              </w:rPr>
            </w:pPr>
            <w:r>
              <w:rPr>
                <w:rFonts w:hint="eastAsia"/>
                <w:snapToGrid w:val="0"/>
                <w:kern w:val="0"/>
                <w:sz w:val="24"/>
              </w:rPr>
              <w:t>由表4-3可知，本项目原料上料工序产生的颗粒物经配备袋式除尘器处理后排放浓度可满足《大气污染物综合排放标准》（GB16297-1996）表2排放限值（120mg/m</w:t>
            </w:r>
            <w:r>
              <w:rPr>
                <w:rFonts w:hint="eastAsia"/>
                <w:snapToGrid w:val="0"/>
                <w:kern w:val="0"/>
                <w:sz w:val="24"/>
                <w:vertAlign w:val="superscript"/>
              </w:rPr>
              <w:t>3</w:t>
            </w:r>
            <w:r>
              <w:rPr>
                <w:rFonts w:hint="eastAsia"/>
                <w:snapToGrid w:val="0"/>
                <w:kern w:val="0"/>
                <w:sz w:val="24"/>
              </w:rPr>
              <w:t>，3.5kg/h）要求。</w:t>
            </w:r>
          </w:p>
          <w:p>
            <w:pPr>
              <w:spacing w:line="360" w:lineRule="auto"/>
              <w:ind w:firstLine="480" w:firstLineChars="200"/>
              <w:rPr>
                <w:snapToGrid w:val="0"/>
                <w:kern w:val="0"/>
                <w:sz w:val="24"/>
              </w:rPr>
            </w:pPr>
            <w:r>
              <w:rPr>
                <w:rFonts w:hint="eastAsia"/>
                <w:snapToGrid w:val="0"/>
                <w:kern w:val="0"/>
                <w:sz w:val="24"/>
              </w:rPr>
              <w:t>（3）排气筒DA001排放污染物情况</w:t>
            </w:r>
          </w:p>
          <w:p>
            <w:pPr>
              <w:spacing w:line="360" w:lineRule="auto"/>
              <w:ind w:firstLine="480" w:firstLineChars="200"/>
              <w:rPr>
                <w:snapToGrid w:val="0"/>
                <w:kern w:val="0"/>
                <w:sz w:val="24"/>
              </w:rPr>
            </w:pPr>
            <w:r>
              <w:rPr>
                <w:rFonts w:hint="eastAsia"/>
                <w:snapToGrid w:val="0"/>
                <w:kern w:val="0"/>
                <w:sz w:val="24"/>
              </w:rPr>
              <w:t>本项目上料工序、破碎工序产生的颗粒物经各个配套的除尘器处理后，由同一根15m高的排气筒（DA001）排放。排气筒DA001排放污染物情况见表4-4。</w:t>
            </w:r>
          </w:p>
          <w:p>
            <w:pPr>
              <w:pStyle w:val="44"/>
              <w:tabs>
                <w:tab w:val="left" w:pos="895"/>
                <w:tab w:val="clear" w:pos="1322"/>
              </w:tabs>
              <w:spacing w:line="360" w:lineRule="auto"/>
              <w:rPr>
                <w:rFonts w:eastAsia="宋体"/>
                <w:sz w:val="24"/>
                <w:szCs w:val="24"/>
              </w:rPr>
            </w:pPr>
            <w:r>
              <w:rPr>
                <w:rFonts w:hint="eastAsia" w:eastAsia="宋体"/>
                <w:sz w:val="24"/>
                <w:szCs w:val="24"/>
              </w:rPr>
              <w:t>表4-4    本项目排气筒DA001排放污染物情况一览表</w:t>
            </w:r>
          </w:p>
          <w:tbl>
            <w:tblPr>
              <w:tblStyle w:val="27"/>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2"/>
              <w:gridCol w:w="663"/>
              <w:gridCol w:w="625"/>
              <w:gridCol w:w="737"/>
              <w:gridCol w:w="1350"/>
              <w:gridCol w:w="938"/>
              <w:gridCol w:w="687"/>
              <w:gridCol w:w="688"/>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Merge w:val="restart"/>
                  <w:vAlign w:val="center"/>
                </w:tcPr>
                <w:p>
                  <w:pPr>
                    <w:jc w:val="center"/>
                    <w:rPr>
                      <w:b/>
                      <w:bCs/>
                      <w:snapToGrid w:val="0"/>
                      <w:kern w:val="0"/>
                      <w:sz w:val="18"/>
                      <w:szCs w:val="18"/>
                    </w:rPr>
                  </w:pPr>
                  <w:r>
                    <w:rPr>
                      <w:rFonts w:hint="eastAsia"/>
                      <w:b/>
                      <w:bCs/>
                      <w:snapToGrid w:val="0"/>
                      <w:kern w:val="0"/>
                      <w:sz w:val="18"/>
                      <w:szCs w:val="18"/>
                    </w:rPr>
                    <w:t>污染源</w:t>
                  </w:r>
                </w:p>
              </w:tc>
              <w:tc>
                <w:tcPr>
                  <w:tcW w:w="762" w:type="dxa"/>
                  <w:vMerge w:val="restart"/>
                  <w:vAlign w:val="center"/>
                </w:tcPr>
                <w:p>
                  <w:pPr>
                    <w:jc w:val="center"/>
                    <w:rPr>
                      <w:b/>
                      <w:bCs/>
                      <w:snapToGrid w:val="0"/>
                      <w:kern w:val="0"/>
                      <w:sz w:val="18"/>
                      <w:szCs w:val="18"/>
                    </w:rPr>
                  </w:pPr>
                  <w:r>
                    <w:rPr>
                      <w:rFonts w:hint="eastAsia"/>
                      <w:b/>
                      <w:bCs/>
                      <w:snapToGrid w:val="0"/>
                      <w:kern w:val="0"/>
                      <w:sz w:val="18"/>
                      <w:szCs w:val="18"/>
                    </w:rPr>
                    <w:t>污染物</w:t>
                  </w:r>
                </w:p>
              </w:tc>
              <w:tc>
                <w:tcPr>
                  <w:tcW w:w="1288" w:type="dxa"/>
                  <w:gridSpan w:val="2"/>
                  <w:vAlign w:val="center"/>
                </w:tcPr>
                <w:p>
                  <w:pPr>
                    <w:jc w:val="center"/>
                    <w:rPr>
                      <w:b/>
                      <w:bCs/>
                      <w:snapToGrid w:val="0"/>
                      <w:kern w:val="0"/>
                      <w:sz w:val="18"/>
                      <w:szCs w:val="18"/>
                    </w:rPr>
                  </w:pPr>
                  <w:r>
                    <w:rPr>
                      <w:rFonts w:hint="eastAsia"/>
                      <w:b/>
                      <w:bCs/>
                      <w:snapToGrid w:val="0"/>
                      <w:kern w:val="0"/>
                      <w:sz w:val="18"/>
                      <w:szCs w:val="18"/>
                    </w:rPr>
                    <w:t>产生量</w:t>
                  </w:r>
                </w:p>
              </w:tc>
              <w:tc>
                <w:tcPr>
                  <w:tcW w:w="737" w:type="dxa"/>
                  <w:vMerge w:val="restart"/>
                  <w:vAlign w:val="center"/>
                </w:tcPr>
                <w:p>
                  <w:pPr>
                    <w:jc w:val="center"/>
                    <w:rPr>
                      <w:b/>
                      <w:bCs/>
                      <w:snapToGrid w:val="0"/>
                      <w:kern w:val="0"/>
                      <w:sz w:val="18"/>
                      <w:szCs w:val="18"/>
                    </w:rPr>
                  </w:pPr>
                  <w:r>
                    <w:rPr>
                      <w:rFonts w:hint="eastAsia"/>
                      <w:b/>
                      <w:bCs/>
                      <w:snapToGrid w:val="0"/>
                      <w:kern w:val="0"/>
                      <w:sz w:val="18"/>
                      <w:szCs w:val="18"/>
                    </w:rPr>
                    <w:t>产生浓度mg/m</w:t>
                  </w:r>
                  <w:r>
                    <w:rPr>
                      <w:rFonts w:hint="eastAsia"/>
                      <w:b/>
                      <w:bCs/>
                      <w:snapToGrid w:val="0"/>
                      <w:kern w:val="0"/>
                      <w:sz w:val="18"/>
                      <w:szCs w:val="18"/>
                      <w:vertAlign w:val="superscript"/>
                    </w:rPr>
                    <w:t>3</w:t>
                  </w:r>
                </w:p>
              </w:tc>
              <w:tc>
                <w:tcPr>
                  <w:tcW w:w="2288" w:type="dxa"/>
                  <w:gridSpan w:val="2"/>
                  <w:vMerge w:val="restart"/>
                  <w:vAlign w:val="center"/>
                </w:tcPr>
                <w:p>
                  <w:pPr>
                    <w:jc w:val="center"/>
                    <w:rPr>
                      <w:b/>
                      <w:bCs/>
                      <w:snapToGrid w:val="0"/>
                      <w:kern w:val="0"/>
                      <w:sz w:val="18"/>
                      <w:szCs w:val="18"/>
                    </w:rPr>
                  </w:pPr>
                  <w:r>
                    <w:rPr>
                      <w:rFonts w:hint="eastAsia"/>
                      <w:b/>
                      <w:bCs/>
                      <w:snapToGrid w:val="0"/>
                      <w:kern w:val="0"/>
                      <w:sz w:val="18"/>
                      <w:szCs w:val="18"/>
                    </w:rPr>
                    <w:t>处理措施</w:t>
                  </w:r>
                </w:p>
              </w:tc>
              <w:tc>
                <w:tcPr>
                  <w:tcW w:w="1375" w:type="dxa"/>
                  <w:gridSpan w:val="2"/>
                  <w:vAlign w:val="center"/>
                </w:tcPr>
                <w:p>
                  <w:pPr>
                    <w:jc w:val="center"/>
                    <w:rPr>
                      <w:b/>
                      <w:bCs/>
                      <w:snapToGrid w:val="0"/>
                      <w:kern w:val="0"/>
                      <w:sz w:val="18"/>
                      <w:szCs w:val="18"/>
                    </w:rPr>
                  </w:pPr>
                  <w:r>
                    <w:rPr>
                      <w:rFonts w:hint="eastAsia"/>
                      <w:b/>
                      <w:bCs/>
                      <w:snapToGrid w:val="0"/>
                      <w:kern w:val="0"/>
                      <w:sz w:val="18"/>
                      <w:szCs w:val="18"/>
                    </w:rPr>
                    <w:t>排放量</w:t>
                  </w:r>
                </w:p>
              </w:tc>
              <w:tc>
                <w:tcPr>
                  <w:tcW w:w="731"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b/>
                      <w:bCs/>
                      <w:snapToGrid w:val="0"/>
                      <w:kern w:val="0"/>
                      <w:sz w:val="18"/>
                      <w:szCs w:val="18"/>
                    </w:rPr>
                  </w:pPr>
                  <w:r>
                    <w:rPr>
                      <w:rFonts w:hint="eastAsia"/>
                      <w:b/>
                      <w:bCs/>
                      <w:snapToGrid w:val="0"/>
                      <w:kern w:val="0"/>
                      <w:sz w:val="18"/>
                      <w:szCs w:val="18"/>
                    </w:rPr>
                    <w:t>浓度mg/m</w:t>
                  </w:r>
                  <w:r>
                    <w:rPr>
                      <w:rFonts w:hint="eastAsia"/>
                      <w:b/>
                      <w:bCs/>
                      <w:snapToGrid w:val="0"/>
                      <w:kern w:val="0"/>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Merge w:val="continue"/>
                  <w:vAlign w:val="center"/>
                </w:tcPr>
                <w:p>
                  <w:pPr>
                    <w:jc w:val="center"/>
                    <w:rPr>
                      <w:b/>
                      <w:bCs/>
                      <w:snapToGrid w:val="0"/>
                      <w:kern w:val="0"/>
                      <w:sz w:val="18"/>
                      <w:szCs w:val="18"/>
                    </w:rPr>
                  </w:pPr>
                </w:p>
              </w:tc>
              <w:tc>
                <w:tcPr>
                  <w:tcW w:w="762" w:type="dxa"/>
                  <w:vMerge w:val="continue"/>
                  <w:vAlign w:val="center"/>
                </w:tcPr>
                <w:p>
                  <w:pPr>
                    <w:jc w:val="center"/>
                    <w:rPr>
                      <w:b/>
                      <w:bCs/>
                      <w:snapToGrid w:val="0"/>
                      <w:kern w:val="0"/>
                      <w:sz w:val="18"/>
                      <w:szCs w:val="18"/>
                    </w:rPr>
                  </w:pPr>
                </w:p>
              </w:tc>
              <w:tc>
                <w:tcPr>
                  <w:tcW w:w="663" w:type="dxa"/>
                  <w:vAlign w:val="center"/>
                </w:tcPr>
                <w:p>
                  <w:pPr>
                    <w:jc w:val="center"/>
                    <w:rPr>
                      <w:b/>
                      <w:bCs/>
                      <w:snapToGrid w:val="0"/>
                      <w:kern w:val="0"/>
                      <w:sz w:val="18"/>
                      <w:szCs w:val="18"/>
                    </w:rPr>
                  </w:pPr>
                  <w:r>
                    <w:rPr>
                      <w:rFonts w:hint="eastAsia"/>
                      <w:b/>
                      <w:bCs/>
                      <w:snapToGrid w:val="0"/>
                      <w:kern w:val="0"/>
                      <w:sz w:val="18"/>
                      <w:szCs w:val="18"/>
                    </w:rPr>
                    <w:t>t/a</w:t>
                  </w:r>
                </w:p>
              </w:tc>
              <w:tc>
                <w:tcPr>
                  <w:tcW w:w="625" w:type="dxa"/>
                  <w:vAlign w:val="center"/>
                </w:tcPr>
                <w:p>
                  <w:pPr>
                    <w:jc w:val="center"/>
                    <w:rPr>
                      <w:b/>
                      <w:bCs/>
                      <w:snapToGrid w:val="0"/>
                      <w:kern w:val="0"/>
                      <w:sz w:val="18"/>
                      <w:szCs w:val="18"/>
                    </w:rPr>
                  </w:pPr>
                  <w:r>
                    <w:rPr>
                      <w:rFonts w:hint="eastAsia"/>
                      <w:b/>
                      <w:bCs/>
                      <w:snapToGrid w:val="0"/>
                      <w:kern w:val="0"/>
                      <w:sz w:val="18"/>
                      <w:szCs w:val="18"/>
                    </w:rPr>
                    <w:t>kg/h</w:t>
                  </w:r>
                </w:p>
              </w:tc>
              <w:tc>
                <w:tcPr>
                  <w:tcW w:w="737" w:type="dxa"/>
                  <w:vMerge w:val="continue"/>
                  <w:vAlign w:val="center"/>
                </w:tcPr>
                <w:p>
                  <w:pPr>
                    <w:jc w:val="center"/>
                    <w:rPr>
                      <w:b/>
                      <w:bCs/>
                      <w:snapToGrid w:val="0"/>
                      <w:kern w:val="0"/>
                      <w:sz w:val="18"/>
                      <w:szCs w:val="18"/>
                    </w:rPr>
                  </w:pPr>
                </w:p>
              </w:tc>
              <w:tc>
                <w:tcPr>
                  <w:tcW w:w="2288" w:type="dxa"/>
                  <w:gridSpan w:val="2"/>
                  <w:vMerge w:val="continue"/>
                  <w:vAlign w:val="center"/>
                </w:tcPr>
                <w:p>
                  <w:pPr>
                    <w:jc w:val="center"/>
                    <w:rPr>
                      <w:b/>
                      <w:bCs/>
                      <w:snapToGrid w:val="0"/>
                      <w:kern w:val="0"/>
                      <w:sz w:val="18"/>
                      <w:szCs w:val="18"/>
                    </w:rPr>
                  </w:pPr>
                </w:p>
              </w:tc>
              <w:tc>
                <w:tcPr>
                  <w:tcW w:w="687" w:type="dxa"/>
                  <w:vAlign w:val="center"/>
                </w:tcPr>
                <w:p>
                  <w:pPr>
                    <w:jc w:val="center"/>
                    <w:rPr>
                      <w:b/>
                      <w:bCs/>
                      <w:snapToGrid w:val="0"/>
                      <w:kern w:val="0"/>
                      <w:sz w:val="18"/>
                      <w:szCs w:val="18"/>
                    </w:rPr>
                  </w:pPr>
                  <w:r>
                    <w:rPr>
                      <w:rFonts w:hint="eastAsia"/>
                      <w:b/>
                      <w:bCs/>
                      <w:snapToGrid w:val="0"/>
                      <w:kern w:val="0"/>
                      <w:sz w:val="18"/>
                      <w:szCs w:val="18"/>
                    </w:rPr>
                    <w:t>t/a</w:t>
                  </w:r>
                </w:p>
              </w:tc>
              <w:tc>
                <w:tcPr>
                  <w:tcW w:w="688" w:type="dxa"/>
                  <w:vAlign w:val="center"/>
                </w:tcPr>
                <w:p>
                  <w:pPr>
                    <w:jc w:val="center"/>
                    <w:rPr>
                      <w:b/>
                      <w:bCs/>
                      <w:snapToGrid w:val="0"/>
                      <w:kern w:val="0"/>
                      <w:sz w:val="18"/>
                      <w:szCs w:val="18"/>
                    </w:rPr>
                  </w:pPr>
                  <w:r>
                    <w:rPr>
                      <w:rFonts w:hint="eastAsia"/>
                      <w:b/>
                      <w:bCs/>
                      <w:snapToGrid w:val="0"/>
                      <w:kern w:val="0"/>
                      <w:sz w:val="18"/>
                      <w:szCs w:val="18"/>
                    </w:rPr>
                    <w:t>kg/h</w:t>
                  </w:r>
                </w:p>
              </w:tc>
              <w:tc>
                <w:tcPr>
                  <w:tcW w:w="731" w:type="dxa"/>
                  <w:vMerge w:val="continue"/>
                  <w:vAlign w:val="center"/>
                </w:tcPr>
                <w:p>
                  <w:pPr>
                    <w:jc w:val="center"/>
                    <w:rPr>
                      <w:b/>
                      <w:bCs/>
                      <w:snapToGrid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Align w:val="center"/>
                </w:tcPr>
                <w:p>
                  <w:pPr>
                    <w:jc w:val="center"/>
                    <w:rPr>
                      <w:snapToGrid w:val="0"/>
                      <w:kern w:val="0"/>
                      <w:sz w:val="18"/>
                      <w:szCs w:val="18"/>
                    </w:rPr>
                  </w:pPr>
                  <w:r>
                    <w:rPr>
                      <w:rFonts w:hint="eastAsia"/>
                      <w:snapToGrid w:val="0"/>
                      <w:kern w:val="0"/>
                      <w:sz w:val="18"/>
                      <w:szCs w:val="18"/>
                    </w:rPr>
                    <w:t>上料斗</w:t>
                  </w:r>
                </w:p>
              </w:tc>
              <w:tc>
                <w:tcPr>
                  <w:tcW w:w="762" w:type="dxa"/>
                  <w:vMerge w:val="restart"/>
                  <w:vAlign w:val="center"/>
                </w:tcPr>
                <w:p>
                  <w:pPr>
                    <w:jc w:val="center"/>
                    <w:rPr>
                      <w:snapToGrid w:val="0"/>
                      <w:kern w:val="0"/>
                      <w:sz w:val="18"/>
                      <w:szCs w:val="18"/>
                    </w:rPr>
                  </w:pPr>
                  <w:r>
                    <w:rPr>
                      <w:rFonts w:hint="eastAsia"/>
                      <w:snapToGrid w:val="0"/>
                      <w:kern w:val="0"/>
                      <w:sz w:val="18"/>
                      <w:szCs w:val="18"/>
                    </w:rPr>
                    <w:t>颗粒物</w:t>
                  </w:r>
                </w:p>
              </w:tc>
              <w:tc>
                <w:tcPr>
                  <w:tcW w:w="6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4.24</w:t>
                  </w:r>
                </w:p>
              </w:tc>
              <w:tc>
                <w:tcPr>
                  <w:tcW w:w="62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2.12</w:t>
                  </w:r>
                </w:p>
              </w:tc>
              <w:tc>
                <w:tcPr>
                  <w:tcW w:w="73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265</w:t>
                  </w:r>
                </w:p>
              </w:tc>
              <w:tc>
                <w:tcPr>
                  <w:tcW w:w="1350" w:type="dxa"/>
                  <w:vAlign w:val="center"/>
                </w:tcPr>
                <w:p>
                  <w:pPr>
                    <w:jc w:val="center"/>
                    <w:rPr>
                      <w:snapToGrid w:val="0"/>
                      <w:kern w:val="0"/>
                      <w:sz w:val="18"/>
                      <w:szCs w:val="18"/>
                    </w:rPr>
                  </w:pPr>
                  <w:r>
                    <w:rPr>
                      <w:rFonts w:hint="eastAsia"/>
                      <w:snapToGrid w:val="0"/>
                      <w:kern w:val="0"/>
                      <w:sz w:val="18"/>
                      <w:szCs w:val="18"/>
                    </w:rPr>
                    <w:t>集气罩+袋式除尘器（1#）</w:t>
                  </w:r>
                </w:p>
              </w:tc>
              <w:tc>
                <w:tcPr>
                  <w:tcW w:w="938" w:type="dxa"/>
                  <w:vMerge w:val="restart"/>
                  <w:vAlign w:val="center"/>
                </w:tcPr>
                <w:p>
                  <w:pPr>
                    <w:jc w:val="center"/>
                    <w:rPr>
                      <w:snapToGrid w:val="0"/>
                      <w:kern w:val="0"/>
                      <w:sz w:val="18"/>
                      <w:szCs w:val="18"/>
                    </w:rPr>
                  </w:pPr>
                  <w:r>
                    <w:rPr>
                      <w:rFonts w:hint="eastAsia"/>
                      <w:snapToGrid w:val="0"/>
                      <w:kern w:val="0"/>
                      <w:sz w:val="18"/>
                      <w:szCs w:val="18"/>
                    </w:rPr>
                    <w:t>15m高排气筒DA001排放</w:t>
                  </w:r>
                </w:p>
              </w:tc>
              <w:tc>
                <w:tcPr>
                  <w:tcW w:w="68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0.042</w:t>
                  </w:r>
                </w:p>
              </w:tc>
              <w:tc>
                <w:tcPr>
                  <w:tcW w:w="688" w:type="dxa"/>
                  <w:vAlign w:val="center"/>
                </w:tcPr>
                <w:p>
                  <w:pPr>
                    <w:jc w:val="center"/>
                    <w:rPr>
                      <w:snapToGrid w:val="0"/>
                      <w:kern w:val="0"/>
                      <w:sz w:val="18"/>
                      <w:szCs w:val="18"/>
                    </w:rPr>
                  </w:pPr>
                  <w:r>
                    <w:rPr>
                      <w:rFonts w:hint="eastAsia"/>
                      <w:snapToGrid w:val="0"/>
                      <w:kern w:val="0"/>
                      <w:sz w:val="18"/>
                      <w:szCs w:val="18"/>
                    </w:rPr>
                    <w:t>0.021</w:t>
                  </w:r>
                </w:p>
              </w:tc>
              <w:tc>
                <w:tcPr>
                  <w:tcW w:w="731"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Align w:val="center"/>
                </w:tcPr>
                <w:p>
                  <w:pPr>
                    <w:jc w:val="center"/>
                    <w:rPr>
                      <w:snapToGrid w:val="0"/>
                      <w:kern w:val="0"/>
                      <w:sz w:val="18"/>
                      <w:szCs w:val="18"/>
                    </w:rPr>
                  </w:pPr>
                  <w:r>
                    <w:rPr>
                      <w:rFonts w:hint="eastAsia"/>
                      <w:snapToGrid w:val="0"/>
                      <w:kern w:val="0"/>
                      <w:sz w:val="18"/>
                      <w:szCs w:val="18"/>
                    </w:rPr>
                    <w:t>破碎机</w:t>
                  </w:r>
                </w:p>
              </w:tc>
              <w:tc>
                <w:tcPr>
                  <w:tcW w:w="762" w:type="dxa"/>
                  <w:vMerge w:val="continue"/>
                  <w:vAlign w:val="center"/>
                </w:tcPr>
                <w:p>
                  <w:pPr>
                    <w:jc w:val="center"/>
                    <w:rPr>
                      <w:snapToGrid w:val="0"/>
                      <w:kern w:val="0"/>
                      <w:sz w:val="18"/>
                      <w:szCs w:val="18"/>
                    </w:rPr>
                  </w:pPr>
                </w:p>
              </w:tc>
              <w:tc>
                <w:tcPr>
                  <w:tcW w:w="6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21.15</w:t>
                  </w:r>
                </w:p>
              </w:tc>
              <w:tc>
                <w:tcPr>
                  <w:tcW w:w="62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10.58</w:t>
                  </w:r>
                </w:p>
              </w:tc>
              <w:tc>
                <w:tcPr>
                  <w:tcW w:w="73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881.25</w:t>
                  </w:r>
                </w:p>
              </w:tc>
              <w:tc>
                <w:tcPr>
                  <w:tcW w:w="1350" w:type="dxa"/>
                  <w:vAlign w:val="center"/>
                </w:tcPr>
                <w:p>
                  <w:pPr>
                    <w:jc w:val="center"/>
                    <w:rPr>
                      <w:snapToGrid w:val="0"/>
                      <w:kern w:val="0"/>
                      <w:sz w:val="18"/>
                      <w:szCs w:val="18"/>
                    </w:rPr>
                  </w:pPr>
                  <w:r>
                    <w:rPr>
                      <w:rFonts w:hint="eastAsia"/>
                      <w:snapToGrid w:val="0"/>
                      <w:kern w:val="0"/>
                      <w:sz w:val="18"/>
                      <w:szCs w:val="18"/>
                    </w:rPr>
                    <w:t>集气罩+袋式除尘器（2#）</w:t>
                  </w:r>
                </w:p>
              </w:tc>
              <w:tc>
                <w:tcPr>
                  <w:tcW w:w="938" w:type="dxa"/>
                  <w:vMerge w:val="continue"/>
                  <w:vAlign w:val="center"/>
                </w:tcPr>
                <w:p>
                  <w:pPr>
                    <w:jc w:val="center"/>
                    <w:rPr>
                      <w:snapToGrid w:val="0"/>
                      <w:kern w:val="0"/>
                      <w:sz w:val="18"/>
                      <w:szCs w:val="18"/>
                    </w:rPr>
                  </w:pPr>
                </w:p>
              </w:tc>
              <w:tc>
                <w:tcPr>
                  <w:tcW w:w="68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rPr>
                    <w:t>0.2</w:t>
                  </w:r>
                  <w:r>
                    <w:rPr>
                      <w:rFonts w:hint="eastAsia"/>
                      <w:snapToGrid w:val="0"/>
                      <w:kern w:val="0"/>
                      <w:sz w:val="18"/>
                      <w:szCs w:val="18"/>
                      <w:lang w:val="en-US" w:eastAsia="zh-CN"/>
                    </w:rPr>
                    <w:t>1</w:t>
                  </w:r>
                </w:p>
              </w:tc>
              <w:tc>
                <w:tcPr>
                  <w:tcW w:w="688" w:type="dxa"/>
                  <w:vAlign w:val="center"/>
                </w:tcPr>
                <w:p>
                  <w:pPr>
                    <w:jc w:val="center"/>
                    <w:rPr>
                      <w:rFonts w:hint="eastAsia" w:eastAsia="宋体"/>
                      <w:snapToGrid w:val="0"/>
                      <w:kern w:val="0"/>
                      <w:sz w:val="18"/>
                      <w:szCs w:val="18"/>
                      <w:lang w:val="en-US" w:eastAsia="zh-CN"/>
                    </w:rPr>
                  </w:pPr>
                  <w:r>
                    <w:rPr>
                      <w:rFonts w:hint="eastAsia"/>
                      <w:snapToGrid w:val="0"/>
                      <w:kern w:val="0"/>
                      <w:sz w:val="18"/>
                      <w:szCs w:val="18"/>
                    </w:rPr>
                    <w:t>0.1</w:t>
                  </w:r>
                  <w:r>
                    <w:rPr>
                      <w:rFonts w:hint="eastAsia"/>
                      <w:snapToGrid w:val="0"/>
                      <w:kern w:val="0"/>
                      <w:sz w:val="18"/>
                      <w:szCs w:val="18"/>
                      <w:lang w:val="en-US" w:eastAsia="zh-CN"/>
                    </w:rPr>
                    <w:t>1</w:t>
                  </w:r>
                </w:p>
              </w:tc>
              <w:tc>
                <w:tcPr>
                  <w:tcW w:w="731"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Align w:val="center"/>
                </w:tcPr>
                <w:p>
                  <w:pPr>
                    <w:jc w:val="center"/>
                    <w:rPr>
                      <w:snapToGrid w:val="0"/>
                      <w:kern w:val="0"/>
                      <w:sz w:val="18"/>
                      <w:szCs w:val="18"/>
                    </w:rPr>
                  </w:pPr>
                  <w:r>
                    <w:rPr>
                      <w:rFonts w:hint="eastAsia"/>
                      <w:snapToGrid w:val="0"/>
                      <w:kern w:val="0"/>
                      <w:sz w:val="18"/>
                      <w:szCs w:val="18"/>
                    </w:rPr>
                    <w:t>DA001</w:t>
                  </w:r>
                </w:p>
              </w:tc>
              <w:tc>
                <w:tcPr>
                  <w:tcW w:w="762" w:type="dxa"/>
                  <w:vMerge w:val="continue"/>
                  <w:vAlign w:val="center"/>
                </w:tcPr>
                <w:p>
                  <w:pPr>
                    <w:jc w:val="center"/>
                    <w:rPr>
                      <w:snapToGrid w:val="0"/>
                      <w:kern w:val="0"/>
                      <w:sz w:val="18"/>
                      <w:szCs w:val="18"/>
                    </w:rPr>
                  </w:pPr>
                </w:p>
              </w:tc>
              <w:tc>
                <w:tcPr>
                  <w:tcW w:w="663" w:type="dxa"/>
                  <w:vAlign w:val="center"/>
                </w:tcPr>
                <w:p>
                  <w:pPr>
                    <w:jc w:val="center"/>
                    <w:rPr>
                      <w:snapToGrid w:val="0"/>
                      <w:kern w:val="0"/>
                      <w:sz w:val="18"/>
                      <w:szCs w:val="18"/>
                    </w:rPr>
                  </w:pPr>
                  <w:r>
                    <w:rPr>
                      <w:rFonts w:hint="eastAsia"/>
                      <w:snapToGrid w:val="0"/>
                      <w:kern w:val="0"/>
                      <w:sz w:val="18"/>
                      <w:szCs w:val="18"/>
                    </w:rPr>
                    <w:t>/</w:t>
                  </w:r>
                </w:p>
              </w:tc>
              <w:tc>
                <w:tcPr>
                  <w:tcW w:w="625" w:type="dxa"/>
                  <w:vAlign w:val="center"/>
                </w:tcPr>
                <w:p>
                  <w:pPr>
                    <w:jc w:val="center"/>
                    <w:rPr>
                      <w:snapToGrid w:val="0"/>
                      <w:kern w:val="0"/>
                      <w:sz w:val="18"/>
                      <w:szCs w:val="18"/>
                    </w:rPr>
                  </w:pPr>
                  <w:r>
                    <w:rPr>
                      <w:rFonts w:hint="eastAsia"/>
                      <w:snapToGrid w:val="0"/>
                      <w:kern w:val="0"/>
                      <w:sz w:val="18"/>
                      <w:szCs w:val="18"/>
                    </w:rPr>
                    <w:t>/</w:t>
                  </w:r>
                </w:p>
              </w:tc>
              <w:tc>
                <w:tcPr>
                  <w:tcW w:w="737" w:type="dxa"/>
                  <w:vAlign w:val="center"/>
                </w:tcPr>
                <w:p>
                  <w:pPr>
                    <w:jc w:val="center"/>
                    <w:rPr>
                      <w:snapToGrid w:val="0"/>
                      <w:kern w:val="0"/>
                      <w:sz w:val="18"/>
                      <w:szCs w:val="18"/>
                    </w:rPr>
                  </w:pPr>
                  <w:r>
                    <w:rPr>
                      <w:rFonts w:hint="eastAsia"/>
                      <w:snapToGrid w:val="0"/>
                      <w:kern w:val="0"/>
                      <w:sz w:val="18"/>
                      <w:szCs w:val="18"/>
                    </w:rPr>
                    <w:t>/</w:t>
                  </w:r>
                </w:p>
              </w:tc>
              <w:tc>
                <w:tcPr>
                  <w:tcW w:w="1350" w:type="dxa"/>
                  <w:vAlign w:val="center"/>
                </w:tcPr>
                <w:p>
                  <w:pPr>
                    <w:jc w:val="center"/>
                    <w:rPr>
                      <w:snapToGrid w:val="0"/>
                      <w:kern w:val="0"/>
                      <w:sz w:val="18"/>
                      <w:szCs w:val="18"/>
                    </w:rPr>
                  </w:pPr>
                  <w:r>
                    <w:rPr>
                      <w:rFonts w:hint="eastAsia"/>
                      <w:snapToGrid w:val="0"/>
                      <w:kern w:val="0"/>
                      <w:sz w:val="18"/>
                      <w:szCs w:val="18"/>
                    </w:rPr>
                    <w:t>/</w:t>
                  </w:r>
                </w:p>
              </w:tc>
              <w:tc>
                <w:tcPr>
                  <w:tcW w:w="938" w:type="dxa"/>
                  <w:vAlign w:val="center"/>
                </w:tcPr>
                <w:p>
                  <w:pPr>
                    <w:jc w:val="center"/>
                    <w:rPr>
                      <w:snapToGrid w:val="0"/>
                      <w:kern w:val="0"/>
                      <w:sz w:val="18"/>
                      <w:szCs w:val="18"/>
                    </w:rPr>
                  </w:pPr>
                  <w:r>
                    <w:rPr>
                      <w:rFonts w:hint="eastAsia"/>
                      <w:snapToGrid w:val="0"/>
                      <w:kern w:val="0"/>
                      <w:sz w:val="18"/>
                      <w:szCs w:val="18"/>
                    </w:rPr>
                    <w:t>/</w:t>
                  </w:r>
                </w:p>
              </w:tc>
              <w:tc>
                <w:tcPr>
                  <w:tcW w:w="68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0.25</w:t>
                  </w:r>
                </w:p>
              </w:tc>
              <w:tc>
                <w:tcPr>
                  <w:tcW w:w="688"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0.13</w:t>
                  </w:r>
                </w:p>
              </w:tc>
              <w:tc>
                <w:tcPr>
                  <w:tcW w:w="731"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6.50</w:t>
                  </w:r>
                </w:p>
              </w:tc>
            </w:tr>
          </w:tbl>
          <w:p>
            <w:pPr>
              <w:spacing w:line="360" w:lineRule="auto"/>
              <w:ind w:firstLine="480" w:firstLineChars="200"/>
              <w:rPr>
                <w:snapToGrid w:val="0"/>
                <w:kern w:val="0"/>
                <w:sz w:val="24"/>
              </w:rPr>
            </w:pPr>
            <w:r>
              <w:rPr>
                <w:rFonts w:hint="eastAsia"/>
                <w:snapToGrid w:val="0"/>
                <w:kern w:val="0"/>
                <w:sz w:val="24"/>
              </w:rPr>
              <w:t>由表4-4可知，本项目上料工序、破碎工序产生的颗粒物经各个配备的袋式除尘器处理后，由同一根15m高的排气筒（DA001）排放，颗粒物排放浓度可满足《大气污染物综合排放标准》（GB16297-1996）表2排放限值（120mg/m</w:t>
            </w:r>
            <w:r>
              <w:rPr>
                <w:rFonts w:hint="eastAsia"/>
                <w:snapToGrid w:val="0"/>
                <w:kern w:val="0"/>
                <w:sz w:val="24"/>
                <w:vertAlign w:val="superscript"/>
              </w:rPr>
              <w:t>3</w:t>
            </w:r>
            <w:r>
              <w:rPr>
                <w:rFonts w:hint="eastAsia"/>
                <w:snapToGrid w:val="0"/>
                <w:kern w:val="0"/>
                <w:sz w:val="24"/>
              </w:rPr>
              <w:t>，3.5kg/h）要求。</w:t>
            </w:r>
          </w:p>
          <w:p>
            <w:pPr>
              <w:spacing w:line="360" w:lineRule="auto"/>
              <w:ind w:firstLine="480" w:firstLineChars="200"/>
              <w:rPr>
                <w:rFonts w:hint="eastAsia"/>
                <w:snapToGrid w:val="0"/>
                <w:kern w:val="0"/>
                <w:sz w:val="24"/>
                <w:lang w:val="en-US" w:eastAsia="zh-CN"/>
              </w:rPr>
            </w:pPr>
            <w:r>
              <w:rPr>
                <w:rFonts w:hint="eastAsia"/>
                <w:snapToGrid w:val="0"/>
                <w:kern w:val="0"/>
                <w:sz w:val="24"/>
              </w:rPr>
              <w:t>1.1.1.2烘干废气</w:t>
            </w:r>
          </w:p>
          <w:p>
            <w:pPr>
              <w:spacing w:line="360" w:lineRule="auto"/>
              <w:ind w:firstLine="480" w:firstLineChars="200"/>
              <w:rPr>
                <w:snapToGrid w:val="0"/>
                <w:kern w:val="0"/>
                <w:sz w:val="24"/>
              </w:rPr>
            </w:pPr>
            <w:r>
              <w:rPr>
                <w:rFonts w:hint="eastAsia"/>
                <w:snapToGrid w:val="0"/>
                <w:kern w:val="0"/>
                <w:sz w:val="24"/>
              </w:rPr>
              <w:t>本项目以天然气作为烘干机的能源，天然气在燃烧过程中会产生一定量的污染物，主要是颗粒物、二氧化硫和氮氧化物。本项目天然气用量为180万m</w:t>
            </w:r>
            <w:r>
              <w:rPr>
                <w:rFonts w:hint="eastAsia"/>
                <w:snapToGrid w:val="0"/>
                <w:kern w:val="0"/>
                <w:sz w:val="24"/>
                <w:vertAlign w:val="superscript"/>
              </w:rPr>
              <w:t>3</w:t>
            </w:r>
            <w:r>
              <w:rPr>
                <w:rFonts w:hint="eastAsia"/>
                <w:snapToGrid w:val="0"/>
                <w:kern w:val="0"/>
                <w:sz w:val="24"/>
              </w:rPr>
              <w:t>/a。</w:t>
            </w:r>
          </w:p>
          <w:p>
            <w:pPr>
              <w:spacing w:line="360" w:lineRule="auto"/>
              <w:ind w:firstLine="480" w:firstLineChars="200"/>
              <w:rPr>
                <w:rFonts w:hint="eastAsia"/>
                <w:snapToGrid w:val="0"/>
                <w:kern w:val="0"/>
                <w:sz w:val="24"/>
              </w:rPr>
            </w:pPr>
            <w:r>
              <w:rPr>
                <w:rFonts w:hint="eastAsia"/>
                <w:snapToGrid w:val="0"/>
                <w:kern w:val="0"/>
                <w:sz w:val="24"/>
              </w:rPr>
              <w:t>参考《第二次全国污染源普查工业污染源产排污系数手册》4430 工业锅炉（热力生产和供应行业）产污系数表中燃烧天然气锅炉的产排污系数计算以上设施天然气燃烧烟气中SO</w:t>
            </w:r>
            <w:r>
              <w:rPr>
                <w:rFonts w:hint="eastAsia"/>
                <w:snapToGrid w:val="0"/>
                <w:kern w:val="0"/>
                <w:sz w:val="24"/>
                <w:vertAlign w:val="subscript"/>
              </w:rPr>
              <w:t>2</w:t>
            </w:r>
            <w:r>
              <w:rPr>
                <w:rFonts w:hint="eastAsia"/>
                <w:snapToGrid w:val="0"/>
                <w:kern w:val="0"/>
                <w:sz w:val="24"/>
              </w:rPr>
              <w:t>、NOx和颗粒物产生量，经核算，项目烘干工序天然气燃烧过程中废气产生情况见表4-5。</w:t>
            </w:r>
          </w:p>
          <w:p>
            <w:pPr>
              <w:spacing w:line="360" w:lineRule="auto"/>
              <w:ind w:firstLine="480" w:firstLineChars="200"/>
              <w:rPr>
                <w:rFonts w:hint="eastAsia"/>
                <w:snapToGrid w:val="0"/>
                <w:kern w:val="0"/>
                <w:sz w:val="24"/>
              </w:rPr>
            </w:pPr>
          </w:p>
          <w:p>
            <w:pPr>
              <w:spacing w:line="360" w:lineRule="auto"/>
              <w:ind w:firstLine="480" w:firstLineChars="200"/>
              <w:rPr>
                <w:rFonts w:hint="eastAsia"/>
                <w:snapToGrid w:val="0"/>
                <w:kern w:val="0"/>
                <w:sz w:val="24"/>
              </w:rPr>
            </w:pPr>
          </w:p>
          <w:p>
            <w:pPr>
              <w:spacing w:line="360" w:lineRule="auto"/>
              <w:ind w:firstLine="480" w:firstLineChars="200"/>
              <w:rPr>
                <w:rFonts w:hint="eastAsia"/>
                <w:snapToGrid w:val="0"/>
                <w:kern w:val="0"/>
                <w:sz w:val="24"/>
              </w:rPr>
            </w:pPr>
          </w:p>
          <w:p>
            <w:pPr>
              <w:spacing w:line="360" w:lineRule="auto"/>
              <w:ind w:firstLine="480" w:firstLineChars="200"/>
              <w:rPr>
                <w:rFonts w:hint="eastAsia"/>
                <w:snapToGrid w:val="0"/>
                <w:kern w:val="0"/>
                <w:sz w:val="24"/>
              </w:rPr>
            </w:pPr>
          </w:p>
          <w:p>
            <w:pPr>
              <w:pStyle w:val="44"/>
              <w:spacing w:line="360" w:lineRule="auto"/>
              <w:rPr>
                <w:rFonts w:eastAsia="宋体"/>
                <w:sz w:val="24"/>
                <w:szCs w:val="24"/>
              </w:rPr>
            </w:pPr>
            <w:r>
              <w:rPr>
                <w:rFonts w:hint="eastAsia" w:eastAsia="宋体"/>
                <w:sz w:val="24"/>
                <w:szCs w:val="24"/>
              </w:rPr>
              <w:t>表4-5    天然气燃烧过程中废气产生情况一览表</w:t>
            </w:r>
          </w:p>
          <w:tbl>
            <w:tblPr>
              <w:tblStyle w:val="27"/>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3"/>
              <w:gridCol w:w="1223"/>
              <w:gridCol w:w="1823"/>
              <w:gridCol w:w="1823"/>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43" w:type="dxa"/>
                  <w:vAlign w:val="center"/>
                </w:tcPr>
                <w:p>
                  <w:pPr>
                    <w:jc w:val="center"/>
                    <w:rPr>
                      <w:b/>
                      <w:bCs/>
                      <w:snapToGrid w:val="0"/>
                      <w:kern w:val="0"/>
                      <w:szCs w:val="21"/>
                    </w:rPr>
                  </w:pPr>
                  <w:r>
                    <w:rPr>
                      <w:rFonts w:hint="eastAsia"/>
                      <w:b/>
                      <w:bCs/>
                      <w:snapToGrid w:val="0"/>
                      <w:kern w:val="0"/>
                      <w:szCs w:val="21"/>
                    </w:rPr>
                    <w:t>燃料名称</w:t>
                  </w:r>
                </w:p>
              </w:tc>
              <w:tc>
                <w:tcPr>
                  <w:tcW w:w="1223" w:type="dxa"/>
                  <w:vAlign w:val="center"/>
                </w:tcPr>
                <w:p>
                  <w:pPr>
                    <w:jc w:val="center"/>
                    <w:rPr>
                      <w:b/>
                      <w:bCs/>
                      <w:snapToGrid w:val="0"/>
                      <w:kern w:val="0"/>
                      <w:szCs w:val="21"/>
                    </w:rPr>
                  </w:pPr>
                  <w:r>
                    <w:rPr>
                      <w:rFonts w:hint="eastAsia"/>
                      <w:b/>
                      <w:bCs/>
                      <w:snapToGrid w:val="0"/>
                      <w:kern w:val="0"/>
                      <w:szCs w:val="21"/>
                    </w:rPr>
                    <w:t>污染物</w:t>
                  </w:r>
                </w:p>
              </w:tc>
              <w:tc>
                <w:tcPr>
                  <w:tcW w:w="1823" w:type="dxa"/>
                  <w:vAlign w:val="center"/>
                </w:tcPr>
                <w:p>
                  <w:pPr>
                    <w:jc w:val="center"/>
                    <w:rPr>
                      <w:b/>
                      <w:bCs/>
                      <w:snapToGrid w:val="0"/>
                      <w:kern w:val="0"/>
                      <w:szCs w:val="21"/>
                    </w:rPr>
                  </w:pPr>
                  <w:r>
                    <w:rPr>
                      <w:rFonts w:hint="eastAsia"/>
                      <w:b/>
                      <w:bCs/>
                      <w:snapToGrid w:val="0"/>
                      <w:kern w:val="0"/>
                      <w:szCs w:val="21"/>
                    </w:rPr>
                    <w:t>单位</w:t>
                  </w:r>
                </w:p>
              </w:tc>
              <w:tc>
                <w:tcPr>
                  <w:tcW w:w="1823" w:type="dxa"/>
                  <w:vAlign w:val="center"/>
                </w:tcPr>
                <w:p>
                  <w:pPr>
                    <w:jc w:val="center"/>
                    <w:rPr>
                      <w:b/>
                      <w:bCs/>
                      <w:snapToGrid w:val="0"/>
                      <w:kern w:val="0"/>
                      <w:szCs w:val="21"/>
                    </w:rPr>
                  </w:pPr>
                  <w:r>
                    <w:rPr>
                      <w:rFonts w:hint="eastAsia"/>
                      <w:b/>
                      <w:bCs/>
                      <w:snapToGrid w:val="0"/>
                      <w:kern w:val="0"/>
                      <w:szCs w:val="21"/>
                    </w:rPr>
                    <w:t>产污系数</w:t>
                  </w:r>
                </w:p>
              </w:tc>
              <w:tc>
                <w:tcPr>
                  <w:tcW w:w="1934" w:type="dxa"/>
                  <w:vAlign w:val="center"/>
                </w:tcPr>
                <w:p>
                  <w:pPr>
                    <w:jc w:val="center"/>
                    <w:rPr>
                      <w:b/>
                      <w:bCs/>
                      <w:snapToGrid w:val="0"/>
                      <w:kern w:val="0"/>
                      <w:szCs w:val="21"/>
                    </w:rPr>
                  </w:pPr>
                  <w:r>
                    <w:rPr>
                      <w:rFonts w:hint="eastAsia"/>
                      <w:b/>
                      <w:bCs/>
                      <w:snapToGrid w:val="0"/>
                      <w:kern w:val="0"/>
                      <w:szCs w:val="21"/>
                    </w:rPr>
                    <w:t>产生量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43" w:type="dxa"/>
                  <w:vMerge w:val="restart"/>
                  <w:vAlign w:val="center"/>
                </w:tcPr>
                <w:p>
                  <w:pPr>
                    <w:jc w:val="center"/>
                    <w:rPr>
                      <w:snapToGrid w:val="0"/>
                      <w:kern w:val="0"/>
                      <w:szCs w:val="21"/>
                    </w:rPr>
                  </w:pPr>
                  <w:r>
                    <w:rPr>
                      <w:rFonts w:hint="eastAsia"/>
                      <w:snapToGrid w:val="0"/>
                      <w:kern w:val="0"/>
                      <w:szCs w:val="21"/>
                    </w:rPr>
                    <w:t>天然气</w:t>
                  </w:r>
                </w:p>
              </w:tc>
              <w:tc>
                <w:tcPr>
                  <w:tcW w:w="1223" w:type="dxa"/>
                  <w:vAlign w:val="center"/>
                </w:tcPr>
                <w:p>
                  <w:pPr>
                    <w:jc w:val="center"/>
                    <w:rPr>
                      <w:snapToGrid w:val="0"/>
                      <w:kern w:val="0"/>
                      <w:szCs w:val="21"/>
                    </w:rPr>
                  </w:pPr>
                  <w:r>
                    <w:rPr>
                      <w:rFonts w:hint="eastAsia"/>
                      <w:snapToGrid w:val="0"/>
                      <w:kern w:val="0"/>
                      <w:szCs w:val="21"/>
                    </w:rPr>
                    <w:t>废气量</w:t>
                  </w:r>
                </w:p>
              </w:tc>
              <w:tc>
                <w:tcPr>
                  <w:tcW w:w="1823" w:type="dxa"/>
                  <w:vAlign w:val="center"/>
                </w:tcPr>
                <w:p>
                  <w:pPr>
                    <w:jc w:val="center"/>
                    <w:rPr>
                      <w:snapToGrid w:val="0"/>
                      <w:kern w:val="0"/>
                      <w:szCs w:val="21"/>
                    </w:rPr>
                  </w:pPr>
                  <w:r>
                    <w:rPr>
                      <w:rFonts w:hint="eastAsia"/>
                      <w:snapToGrid w:val="0"/>
                      <w:kern w:val="0"/>
                      <w:szCs w:val="21"/>
                    </w:rPr>
                    <w:t>Nm</w:t>
                  </w:r>
                  <w:r>
                    <w:rPr>
                      <w:rFonts w:hint="eastAsia"/>
                      <w:snapToGrid w:val="0"/>
                      <w:kern w:val="0"/>
                      <w:szCs w:val="21"/>
                      <w:vertAlign w:val="superscript"/>
                    </w:rPr>
                    <w:t>3</w:t>
                  </w:r>
                  <w:r>
                    <w:rPr>
                      <w:rFonts w:hint="eastAsia"/>
                      <w:snapToGrid w:val="0"/>
                      <w:kern w:val="0"/>
                      <w:szCs w:val="21"/>
                    </w:rPr>
                    <w:t>/万m</w:t>
                  </w:r>
                  <w:r>
                    <w:rPr>
                      <w:rFonts w:hint="eastAsia"/>
                      <w:snapToGrid w:val="0"/>
                      <w:kern w:val="0"/>
                      <w:szCs w:val="21"/>
                      <w:vertAlign w:val="superscript"/>
                    </w:rPr>
                    <w:t>3</w:t>
                  </w:r>
                  <w:r>
                    <w:rPr>
                      <w:rFonts w:hint="eastAsia"/>
                      <w:snapToGrid w:val="0"/>
                      <w:kern w:val="0"/>
                      <w:szCs w:val="21"/>
                    </w:rPr>
                    <w:t>-原料</w:t>
                  </w:r>
                </w:p>
              </w:tc>
              <w:tc>
                <w:tcPr>
                  <w:tcW w:w="1823" w:type="dxa"/>
                  <w:vAlign w:val="center"/>
                </w:tcPr>
                <w:p>
                  <w:pPr>
                    <w:jc w:val="center"/>
                    <w:rPr>
                      <w:snapToGrid w:val="0"/>
                      <w:kern w:val="0"/>
                      <w:szCs w:val="21"/>
                    </w:rPr>
                  </w:pPr>
                  <w:r>
                    <w:rPr>
                      <w:rFonts w:hint="eastAsia"/>
                      <w:snapToGrid w:val="0"/>
                      <w:kern w:val="0"/>
                      <w:szCs w:val="21"/>
                    </w:rPr>
                    <w:t>107753</w:t>
                  </w:r>
                </w:p>
              </w:tc>
              <w:tc>
                <w:tcPr>
                  <w:tcW w:w="1934" w:type="dxa"/>
                  <w:vAlign w:val="center"/>
                </w:tcPr>
                <w:p>
                  <w:pPr>
                    <w:jc w:val="center"/>
                    <w:rPr>
                      <w:snapToGrid w:val="0"/>
                      <w:kern w:val="0"/>
                      <w:szCs w:val="21"/>
                    </w:rPr>
                  </w:pPr>
                  <w:r>
                    <w:rPr>
                      <w:rFonts w:hint="eastAsia"/>
                      <w:snapToGrid w:val="0"/>
                      <w:kern w:val="0"/>
                      <w:szCs w:val="21"/>
                    </w:rPr>
                    <w:t>1939.554万m</w:t>
                  </w:r>
                  <w:r>
                    <w:rPr>
                      <w:rFonts w:hint="eastAsia"/>
                      <w:snapToGrid w:val="0"/>
                      <w:kern w:val="0"/>
                      <w:szCs w:val="21"/>
                      <w:vertAlign w:val="superscript"/>
                    </w:rPr>
                    <w:t>3</w:t>
                  </w:r>
                  <w:r>
                    <w:rPr>
                      <w:rFonts w:hint="eastAsia"/>
                      <w:snapToGrid w:val="0"/>
                      <w:kern w:val="0"/>
                      <w:szCs w:val="21"/>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43" w:type="dxa"/>
                  <w:vMerge w:val="continue"/>
                  <w:vAlign w:val="center"/>
                </w:tcPr>
                <w:p>
                  <w:pPr>
                    <w:jc w:val="center"/>
                    <w:rPr>
                      <w:snapToGrid w:val="0"/>
                      <w:kern w:val="0"/>
                      <w:szCs w:val="21"/>
                    </w:rPr>
                  </w:pPr>
                </w:p>
              </w:tc>
              <w:tc>
                <w:tcPr>
                  <w:tcW w:w="1223" w:type="dxa"/>
                  <w:vAlign w:val="center"/>
                </w:tcPr>
                <w:p>
                  <w:pPr>
                    <w:jc w:val="center"/>
                    <w:rPr>
                      <w:snapToGrid w:val="0"/>
                      <w:kern w:val="0"/>
                      <w:szCs w:val="21"/>
                    </w:rPr>
                  </w:pPr>
                  <w:r>
                    <w:rPr>
                      <w:rFonts w:hint="eastAsia"/>
                      <w:snapToGrid w:val="0"/>
                      <w:kern w:val="0"/>
                      <w:szCs w:val="21"/>
                    </w:rPr>
                    <w:t>颗粒物</w:t>
                  </w:r>
                </w:p>
              </w:tc>
              <w:tc>
                <w:tcPr>
                  <w:tcW w:w="1823" w:type="dxa"/>
                  <w:vAlign w:val="center"/>
                </w:tcPr>
                <w:p>
                  <w:pPr>
                    <w:jc w:val="center"/>
                    <w:rPr>
                      <w:snapToGrid w:val="0"/>
                      <w:kern w:val="0"/>
                      <w:szCs w:val="21"/>
                    </w:rPr>
                  </w:pPr>
                  <w:r>
                    <w:rPr>
                      <w:rFonts w:hint="eastAsia"/>
                      <w:snapToGrid w:val="0"/>
                      <w:kern w:val="0"/>
                      <w:szCs w:val="21"/>
                    </w:rPr>
                    <w:t>kg/万m</w:t>
                  </w:r>
                  <w:r>
                    <w:rPr>
                      <w:rFonts w:hint="eastAsia"/>
                      <w:snapToGrid w:val="0"/>
                      <w:kern w:val="0"/>
                      <w:szCs w:val="21"/>
                      <w:vertAlign w:val="superscript"/>
                    </w:rPr>
                    <w:t>3</w:t>
                  </w:r>
                  <w:r>
                    <w:rPr>
                      <w:rFonts w:hint="eastAsia"/>
                      <w:snapToGrid w:val="0"/>
                      <w:kern w:val="0"/>
                      <w:szCs w:val="21"/>
                    </w:rPr>
                    <w:t>-原料</w:t>
                  </w:r>
                </w:p>
              </w:tc>
              <w:tc>
                <w:tcPr>
                  <w:tcW w:w="1823" w:type="dxa"/>
                  <w:vAlign w:val="center"/>
                </w:tcPr>
                <w:p>
                  <w:pPr>
                    <w:jc w:val="center"/>
                    <w:rPr>
                      <w:snapToGrid w:val="0"/>
                      <w:kern w:val="0"/>
                      <w:szCs w:val="21"/>
                    </w:rPr>
                  </w:pPr>
                  <w:r>
                    <w:rPr>
                      <w:rFonts w:hint="eastAsia"/>
                      <w:snapToGrid w:val="0"/>
                      <w:kern w:val="0"/>
                      <w:szCs w:val="21"/>
                    </w:rPr>
                    <w:t>2.4</w:t>
                  </w:r>
                </w:p>
              </w:tc>
              <w:tc>
                <w:tcPr>
                  <w:tcW w:w="1934" w:type="dxa"/>
                  <w:vAlign w:val="center"/>
                </w:tcPr>
                <w:p>
                  <w:pPr>
                    <w:jc w:val="center"/>
                    <w:rPr>
                      <w:snapToGrid w:val="0"/>
                      <w:kern w:val="0"/>
                      <w:szCs w:val="21"/>
                    </w:rPr>
                  </w:pPr>
                  <w:r>
                    <w:rPr>
                      <w:rFonts w:hint="eastAsia"/>
                      <w:snapToGrid w:val="0"/>
                      <w:kern w:val="0"/>
                      <w:szCs w:val="21"/>
                    </w:rPr>
                    <w:t>0.432t/a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43" w:type="dxa"/>
                  <w:vMerge w:val="continue"/>
                  <w:vAlign w:val="center"/>
                </w:tcPr>
                <w:p>
                  <w:pPr>
                    <w:jc w:val="center"/>
                    <w:rPr>
                      <w:snapToGrid w:val="0"/>
                      <w:kern w:val="0"/>
                      <w:szCs w:val="21"/>
                    </w:rPr>
                  </w:pPr>
                </w:p>
              </w:tc>
              <w:tc>
                <w:tcPr>
                  <w:tcW w:w="1223" w:type="dxa"/>
                  <w:vAlign w:val="center"/>
                </w:tcPr>
                <w:p>
                  <w:pPr>
                    <w:jc w:val="center"/>
                    <w:rPr>
                      <w:snapToGrid w:val="0"/>
                      <w:kern w:val="0"/>
                      <w:szCs w:val="21"/>
                    </w:rPr>
                  </w:pPr>
                  <w:r>
                    <w:rPr>
                      <w:rFonts w:hint="eastAsia"/>
                      <w:snapToGrid w:val="0"/>
                      <w:kern w:val="0"/>
                      <w:szCs w:val="21"/>
                    </w:rPr>
                    <w:t>SO</w:t>
                  </w:r>
                  <w:r>
                    <w:rPr>
                      <w:rFonts w:hint="eastAsia"/>
                      <w:snapToGrid w:val="0"/>
                      <w:kern w:val="0"/>
                      <w:szCs w:val="21"/>
                      <w:vertAlign w:val="subscript"/>
                    </w:rPr>
                    <w:t>2</w:t>
                  </w:r>
                </w:p>
              </w:tc>
              <w:tc>
                <w:tcPr>
                  <w:tcW w:w="1823" w:type="dxa"/>
                  <w:vAlign w:val="center"/>
                </w:tcPr>
                <w:p>
                  <w:pPr>
                    <w:jc w:val="center"/>
                    <w:rPr>
                      <w:snapToGrid w:val="0"/>
                      <w:kern w:val="0"/>
                      <w:szCs w:val="21"/>
                    </w:rPr>
                  </w:pPr>
                  <w:r>
                    <w:rPr>
                      <w:rFonts w:hint="eastAsia"/>
                      <w:snapToGrid w:val="0"/>
                      <w:kern w:val="0"/>
                      <w:szCs w:val="21"/>
                    </w:rPr>
                    <w:t>kg/万m</w:t>
                  </w:r>
                  <w:r>
                    <w:rPr>
                      <w:rFonts w:hint="eastAsia"/>
                      <w:snapToGrid w:val="0"/>
                      <w:kern w:val="0"/>
                      <w:szCs w:val="21"/>
                      <w:vertAlign w:val="superscript"/>
                    </w:rPr>
                    <w:t>3</w:t>
                  </w:r>
                  <w:r>
                    <w:rPr>
                      <w:rFonts w:hint="eastAsia"/>
                      <w:snapToGrid w:val="0"/>
                      <w:kern w:val="0"/>
                      <w:szCs w:val="21"/>
                    </w:rPr>
                    <w:t>-原料</w:t>
                  </w:r>
                </w:p>
              </w:tc>
              <w:tc>
                <w:tcPr>
                  <w:tcW w:w="1823" w:type="dxa"/>
                  <w:vAlign w:val="center"/>
                </w:tcPr>
                <w:p>
                  <w:pPr>
                    <w:jc w:val="center"/>
                    <w:rPr>
                      <w:snapToGrid w:val="0"/>
                      <w:kern w:val="0"/>
                      <w:szCs w:val="21"/>
                    </w:rPr>
                  </w:pPr>
                  <w:r>
                    <w:rPr>
                      <w:rFonts w:hint="eastAsia"/>
                      <w:snapToGrid w:val="0"/>
                      <w:kern w:val="0"/>
                      <w:szCs w:val="21"/>
                    </w:rPr>
                    <w:t>0.02S</w:t>
                  </w:r>
                </w:p>
              </w:tc>
              <w:tc>
                <w:tcPr>
                  <w:tcW w:w="1934" w:type="dxa"/>
                  <w:vAlign w:val="center"/>
                </w:tcPr>
                <w:p>
                  <w:pPr>
                    <w:jc w:val="center"/>
                    <w:rPr>
                      <w:snapToGrid w:val="0"/>
                      <w:kern w:val="0"/>
                      <w:szCs w:val="21"/>
                    </w:rPr>
                  </w:pPr>
                  <w:r>
                    <w:rPr>
                      <w:rFonts w:hint="eastAsia"/>
                      <w:snapToGrid w:val="0"/>
                      <w:kern w:val="0"/>
                      <w:szCs w:val="21"/>
                    </w:rPr>
                    <w:t>0.36t/a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43" w:type="dxa"/>
                  <w:vMerge w:val="continue"/>
                  <w:vAlign w:val="center"/>
                </w:tcPr>
                <w:p>
                  <w:pPr>
                    <w:jc w:val="center"/>
                    <w:rPr>
                      <w:snapToGrid w:val="0"/>
                      <w:kern w:val="0"/>
                      <w:szCs w:val="21"/>
                    </w:rPr>
                  </w:pPr>
                </w:p>
              </w:tc>
              <w:tc>
                <w:tcPr>
                  <w:tcW w:w="1223" w:type="dxa"/>
                  <w:vAlign w:val="center"/>
                </w:tcPr>
                <w:p>
                  <w:pPr>
                    <w:jc w:val="center"/>
                    <w:rPr>
                      <w:snapToGrid w:val="0"/>
                      <w:kern w:val="0"/>
                      <w:szCs w:val="21"/>
                    </w:rPr>
                  </w:pPr>
                  <w:r>
                    <w:rPr>
                      <w:rFonts w:hint="eastAsia"/>
                      <w:snapToGrid w:val="0"/>
                      <w:kern w:val="0"/>
                      <w:szCs w:val="21"/>
                    </w:rPr>
                    <w:t>NOx</w:t>
                  </w:r>
                </w:p>
              </w:tc>
              <w:tc>
                <w:tcPr>
                  <w:tcW w:w="1823" w:type="dxa"/>
                  <w:vAlign w:val="center"/>
                </w:tcPr>
                <w:p>
                  <w:pPr>
                    <w:jc w:val="center"/>
                    <w:rPr>
                      <w:snapToGrid w:val="0"/>
                      <w:kern w:val="0"/>
                      <w:szCs w:val="21"/>
                    </w:rPr>
                  </w:pPr>
                  <w:r>
                    <w:rPr>
                      <w:rFonts w:hint="eastAsia"/>
                      <w:snapToGrid w:val="0"/>
                      <w:kern w:val="0"/>
                      <w:szCs w:val="21"/>
                    </w:rPr>
                    <w:t>kg/万m</w:t>
                  </w:r>
                  <w:r>
                    <w:rPr>
                      <w:rFonts w:hint="eastAsia"/>
                      <w:snapToGrid w:val="0"/>
                      <w:kern w:val="0"/>
                      <w:szCs w:val="21"/>
                      <w:vertAlign w:val="superscript"/>
                    </w:rPr>
                    <w:t>3</w:t>
                  </w:r>
                  <w:r>
                    <w:rPr>
                      <w:rFonts w:hint="eastAsia"/>
                      <w:snapToGrid w:val="0"/>
                      <w:kern w:val="0"/>
                      <w:szCs w:val="21"/>
                    </w:rPr>
                    <w:t>-原料</w:t>
                  </w:r>
                </w:p>
              </w:tc>
              <w:tc>
                <w:tcPr>
                  <w:tcW w:w="1823" w:type="dxa"/>
                  <w:vAlign w:val="center"/>
                </w:tcPr>
                <w:p>
                  <w:pPr>
                    <w:jc w:val="center"/>
                    <w:rPr>
                      <w:snapToGrid w:val="0"/>
                      <w:kern w:val="0"/>
                      <w:szCs w:val="21"/>
                    </w:rPr>
                  </w:pPr>
                  <w:r>
                    <w:rPr>
                      <w:rFonts w:hint="eastAsia"/>
                      <w:snapToGrid w:val="0"/>
                      <w:kern w:val="0"/>
                      <w:szCs w:val="21"/>
                    </w:rPr>
                    <w:t>6.97（低氮燃烧-国内领先）</w:t>
                  </w:r>
                </w:p>
              </w:tc>
              <w:tc>
                <w:tcPr>
                  <w:tcW w:w="1934" w:type="dxa"/>
                  <w:vAlign w:val="center"/>
                </w:tcPr>
                <w:p>
                  <w:pPr>
                    <w:jc w:val="center"/>
                    <w:rPr>
                      <w:snapToGrid w:val="0"/>
                      <w:kern w:val="0"/>
                      <w:szCs w:val="21"/>
                    </w:rPr>
                  </w:pPr>
                  <w:r>
                    <w:rPr>
                      <w:rFonts w:hint="eastAsia"/>
                      <w:snapToGrid w:val="0"/>
                      <w:kern w:val="0"/>
                      <w:szCs w:val="21"/>
                    </w:rPr>
                    <w:t>1.2546t/a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46" w:type="dxa"/>
                  <w:gridSpan w:val="5"/>
                  <w:vAlign w:val="center"/>
                </w:tcPr>
                <w:p>
                  <w:pPr>
                    <w:rPr>
                      <w:snapToGrid w:val="0"/>
                      <w:kern w:val="0"/>
                      <w:szCs w:val="21"/>
                    </w:rPr>
                  </w:pPr>
                  <w:r>
                    <w:rPr>
                      <w:rFonts w:hint="eastAsia"/>
                      <w:snapToGrid w:val="0"/>
                      <w:kern w:val="0"/>
                      <w:szCs w:val="21"/>
                    </w:rPr>
                    <w:t>注：①含硫量（S）是指燃气总硫分含量，单位为mg/m</w:t>
                  </w:r>
                  <w:r>
                    <w:rPr>
                      <w:rFonts w:hint="eastAsia"/>
                      <w:snapToGrid w:val="0"/>
                      <w:kern w:val="0"/>
                      <w:szCs w:val="21"/>
                      <w:vertAlign w:val="superscript"/>
                    </w:rPr>
                    <w:t>3</w:t>
                  </w:r>
                  <w:r>
                    <w:rPr>
                      <w:rFonts w:hint="eastAsia"/>
                      <w:snapToGrid w:val="0"/>
                      <w:kern w:val="0"/>
                      <w:szCs w:val="21"/>
                    </w:rPr>
                    <w:t>；本次评价按照《天然气》（GB17820-2018）中二类标准，S=100。</w:t>
                  </w:r>
                </w:p>
                <w:p>
                  <w:pPr>
                    <w:ind w:firstLine="420" w:firstLineChars="200"/>
                    <w:rPr>
                      <w:snapToGrid w:val="0"/>
                      <w:kern w:val="0"/>
                      <w:szCs w:val="21"/>
                    </w:rPr>
                  </w:pPr>
                  <w:r>
                    <w:rPr>
                      <w:rFonts w:hint="eastAsia"/>
                      <w:snapToGrid w:val="0"/>
                      <w:kern w:val="0"/>
                      <w:szCs w:val="21"/>
                    </w:rPr>
                    <w:t>②颗粒物排放量计算参考《环境保护实用数据手册》中P69表2-63中推荐系数。</w:t>
                  </w:r>
                </w:p>
              </w:tc>
            </w:tr>
          </w:tbl>
          <w:p>
            <w:pPr>
              <w:spacing w:line="360" w:lineRule="auto"/>
              <w:ind w:firstLine="480" w:firstLineChars="200"/>
              <w:rPr>
                <w:snapToGrid w:val="0"/>
                <w:kern w:val="0"/>
                <w:sz w:val="24"/>
              </w:rPr>
            </w:pPr>
            <w:r>
              <w:rPr>
                <w:rFonts w:hint="eastAsia"/>
                <w:snapToGrid w:val="0"/>
                <w:kern w:val="0"/>
                <w:sz w:val="24"/>
              </w:rPr>
              <w:t>项目粉状物料在烘干机中进行烘干室会产生一定量的粉尘。经类比同类项目，烘干过程中颗粒物产污系数为0.4kg/t-物料，本项目烘干物料量为</w:t>
            </w:r>
            <w:r>
              <w:rPr>
                <w:rFonts w:hint="eastAsia"/>
                <w:snapToGrid w:val="0"/>
                <w:color w:val="auto"/>
                <w:kern w:val="0"/>
                <w:sz w:val="24"/>
                <w:lang w:val="en-US" w:eastAsia="zh-CN"/>
              </w:rPr>
              <w:t>79974.89</w:t>
            </w:r>
            <w:r>
              <w:rPr>
                <w:rFonts w:hint="eastAsia"/>
                <w:snapToGrid w:val="0"/>
                <w:color w:val="auto"/>
                <w:kern w:val="0"/>
                <w:sz w:val="24"/>
              </w:rPr>
              <w:t>t/a，</w:t>
            </w:r>
            <w:r>
              <w:rPr>
                <w:rFonts w:hint="eastAsia"/>
                <w:snapToGrid w:val="0"/>
                <w:kern w:val="0"/>
                <w:sz w:val="24"/>
              </w:rPr>
              <w:t>则本项目烘干过程中颗粒物产生量为</w:t>
            </w:r>
            <w:r>
              <w:rPr>
                <w:rFonts w:hint="eastAsia"/>
                <w:snapToGrid w:val="0"/>
                <w:color w:val="auto"/>
                <w:kern w:val="0"/>
                <w:sz w:val="24"/>
                <w:lang w:val="en-US" w:eastAsia="zh-CN"/>
              </w:rPr>
              <w:t>31.99</w:t>
            </w:r>
            <w:r>
              <w:rPr>
                <w:rFonts w:hint="eastAsia"/>
                <w:snapToGrid w:val="0"/>
                <w:color w:val="auto"/>
                <w:kern w:val="0"/>
                <w:sz w:val="24"/>
              </w:rPr>
              <w:t>t/a，</w:t>
            </w:r>
            <w:r>
              <w:rPr>
                <w:rFonts w:hint="eastAsia"/>
                <w:snapToGrid w:val="0"/>
                <w:color w:val="auto"/>
                <w:kern w:val="0"/>
                <w:sz w:val="24"/>
                <w:lang w:val="en-US" w:eastAsia="zh-CN"/>
              </w:rPr>
              <w:t>16.0</w:t>
            </w:r>
            <w:r>
              <w:rPr>
                <w:rFonts w:hint="eastAsia"/>
                <w:snapToGrid w:val="0"/>
                <w:color w:val="auto"/>
                <w:kern w:val="0"/>
                <w:sz w:val="24"/>
              </w:rPr>
              <w:t>kg/h。</w:t>
            </w:r>
          </w:p>
          <w:p>
            <w:pPr>
              <w:spacing w:line="360" w:lineRule="auto"/>
              <w:ind w:firstLine="482" w:firstLineChars="200"/>
              <w:rPr>
                <w:b/>
                <w:bCs/>
                <w:snapToGrid w:val="0"/>
                <w:kern w:val="0"/>
                <w:sz w:val="24"/>
                <w:u w:val="single"/>
              </w:rPr>
            </w:pPr>
            <w:r>
              <w:rPr>
                <w:rFonts w:hint="eastAsia"/>
                <w:b/>
                <w:bCs/>
                <w:snapToGrid w:val="0"/>
                <w:kern w:val="0"/>
                <w:sz w:val="24"/>
                <w:u w:val="single"/>
              </w:rPr>
              <w:t>本项目烘干工序产生的废气</w:t>
            </w:r>
            <w:r>
              <w:rPr>
                <w:rFonts w:hint="eastAsia"/>
                <w:b/>
                <w:bCs/>
                <w:snapToGrid w:val="0"/>
                <w:kern w:val="0"/>
                <w:sz w:val="24"/>
                <w:u w:val="single"/>
                <w:lang w:val="en-US" w:eastAsia="zh-CN"/>
              </w:rPr>
              <w:t>先经过2级旋风除尘器（1#、2#）处理后，再</w:t>
            </w:r>
            <w:r>
              <w:rPr>
                <w:rFonts w:hint="eastAsia"/>
                <w:b/>
                <w:bCs/>
                <w:snapToGrid w:val="0"/>
                <w:kern w:val="0"/>
                <w:sz w:val="24"/>
                <w:u w:val="single"/>
              </w:rPr>
              <w:t>经2级袋式除尘器（3#、4#）处理，</w:t>
            </w:r>
            <w:r>
              <w:rPr>
                <w:rFonts w:hint="eastAsia"/>
                <w:b/>
                <w:bCs/>
                <w:snapToGrid w:val="0"/>
                <w:kern w:val="0"/>
                <w:sz w:val="24"/>
                <w:u w:val="single"/>
                <w:lang w:val="en-US" w:eastAsia="zh-CN"/>
              </w:rPr>
              <w:t>之后</w:t>
            </w:r>
            <w:r>
              <w:rPr>
                <w:rFonts w:hint="eastAsia"/>
                <w:b/>
                <w:bCs/>
                <w:snapToGrid w:val="0"/>
                <w:kern w:val="0"/>
                <w:sz w:val="24"/>
                <w:u w:val="single"/>
              </w:rPr>
              <w:t>由一</w:t>
            </w:r>
            <w:r>
              <w:rPr>
                <w:rFonts w:hint="eastAsia"/>
                <w:b/>
                <w:bCs/>
                <w:snapToGrid w:val="0"/>
                <w:kern w:val="0"/>
                <w:sz w:val="24"/>
                <w:u w:val="single"/>
                <w:lang w:val="en-US" w:eastAsia="zh-CN"/>
              </w:rPr>
              <w:t>根</w:t>
            </w:r>
            <w:r>
              <w:rPr>
                <w:rFonts w:hint="eastAsia"/>
                <w:b/>
                <w:bCs/>
                <w:snapToGrid w:val="0"/>
                <w:kern w:val="0"/>
                <w:sz w:val="24"/>
                <w:u w:val="single"/>
              </w:rPr>
              <w:t>15m高的排气筒（DA002）排放。</w:t>
            </w:r>
            <w:r>
              <w:rPr>
                <w:rFonts w:hint="eastAsia"/>
                <w:b/>
                <w:bCs/>
                <w:snapToGrid w:val="0"/>
                <w:kern w:val="0"/>
                <w:sz w:val="24"/>
                <w:u w:val="single"/>
                <w:lang w:val="en-US" w:eastAsia="zh-CN"/>
              </w:rPr>
              <w:t>1#、2#旋风除尘器除尘效率均按照60%计，</w:t>
            </w:r>
            <w:r>
              <w:rPr>
                <w:rFonts w:hint="eastAsia"/>
                <w:b/>
                <w:bCs/>
                <w:snapToGrid w:val="0"/>
                <w:kern w:val="0"/>
                <w:sz w:val="24"/>
                <w:u w:val="single"/>
              </w:rPr>
              <w:t>3#、4#袋式除尘器除尘效率均按照</w:t>
            </w:r>
            <w:r>
              <w:rPr>
                <w:rFonts w:hint="eastAsia"/>
                <w:b/>
                <w:bCs/>
                <w:snapToGrid w:val="0"/>
                <w:kern w:val="0"/>
                <w:sz w:val="24"/>
                <w:u w:val="single"/>
                <w:lang w:val="en-US" w:eastAsia="zh-CN"/>
              </w:rPr>
              <w:t>95</w:t>
            </w:r>
            <w:r>
              <w:rPr>
                <w:rFonts w:hint="eastAsia"/>
                <w:b/>
                <w:bCs/>
                <w:snapToGrid w:val="0"/>
                <w:kern w:val="0"/>
                <w:sz w:val="24"/>
                <w:u w:val="single"/>
              </w:rPr>
              <w:t>%计，则</w:t>
            </w:r>
            <w:r>
              <w:rPr>
                <w:rFonts w:hint="eastAsia"/>
                <w:b/>
                <w:bCs/>
                <w:snapToGrid w:val="0"/>
                <w:kern w:val="0"/>
                <w:sz w:val="24"/>
                <w:u w:val="single"/>
                <w:lang w:val="en-US" w:eastAsia="zh-CN"/>
              </w:rPr>
              <w:t>烘干工序</w:t>
            </w:r>
            <w:r>
              <w:rPr>
                <w:rFonts w:hint="eastAsia"/>
                <w:b/>
                <w:bCs/>
                <w:snapToGrid w:val="0"/>
                <w:kern w:val="0"/>
                <w:sz w:val="24"/>
                <w:u w:val="single"/>
              </w:rPr>
              <w:t>总</w:t>
            </w:r>
            <w:r>
              <w:rPr>
                <w:rFonts w:hint="eastAsia"/>
                <w:b/>
                <w:bCs/>
                <w:snapToGrid w:val="0"/>
                <w:kern w:val="0"/>
                <w:sz w:val="24"/>
                <w:u w:val="single"/>
                <w:lang w:val="en-US" w:eastAsia="zh-CN"/>
              </w:rPr>
              <w:t>除尘</w:t>
            </w:r>
            <w:r>
              <w:rPr>
                <w:rFonts w:hint="eastAsia"/>
                <w:b/>
                <w:bCs/>
                <w:snapToGrid w:val="0"/>
                <w:kern w:val="0"/>
                <w:sz w:val="24"/>
                <w:u w:val="single"/>
              </w:rPr>
              <w:t>效率为</w:t>
            </w:r>
            <w:r>
              <w:rPr>
                <w:rFonts w:hint="eastAsia"/>
                <w:b/>
                <w:bCs/>
                <w:snapToGrid w:val="0"/>
                <w:kern w:val="0"/>
                <w:sz w:val="24"/>
                <w:u w:val="single"/>
                <w:lang w:val="en-US" w:eastAsia="zh-CN"/>
              </w:rPr>
              <w:t>99.96</w:t>
            </w:r>
            <w:r>
              <w:rPr>
                <w:rFonts w:hint="eastAsia"/>
                <w:b/>
                <w:bCs/>
                <w:snapToGrid w:val="0"/>
                <w:kern w:val="0"/>
                <w:sz w:val="24"/>
                <w:u w:val="single"/>
              </w:rPr>
              <w:t>%。</w:t>
            </w:r>
          </w:p>
          <w:p>
            <w:pPr>
              <w:spacing w:line="360" w:lineRule="auto"/>
              <w:ind w:firstLine="480" w:firstLineChars="200"/>
              <w:rPr>
                <w:snapToGrid w:val="0"/>
                <w:kern w:val="0"/>
                <w:sz w:val="24"/>
              </w:rPr>
            </w:pPr>
            <w:r>
              <w:rPr>
                <w:rFonts w:hint="eastAsia"/>
                <w:snapToGrid w:val="0"/>
                <w:kern w:val="0"/>
                <w:sz w:val="24"/>
              </w:rPr>
              <w:t>本项目烘干废气产排情况见表4-6。</w:t>
            </w:r>
          </w:p>
          <w:p>
            <w:pPr>
              <w:pStyle w:val="44"/>
              <w:tabs>
                <w:tab w:val="left" w:pos="895"/>
                <w:tab w:val="clear" w:pos="1322"/>
              </w:tabs>
              <w:spacing w:line="360" w:lineRule="auto"/>
              <w:rPr>
                <w:rFonts w:eastAsia="宋体"/>
                <w:sz w:val="24"/>
                <w:szCs w:val="24"/>
              </w:rPr>
            </w:pPr>
            <w:r>
              <w:rPr>
                <w:rFonts w:hint="eastAsia" w:eastAsia="宋体"/>
                <w:sz w:val="24"/>
                <w:szCs w:val="24"/>
              </w:rPr>
              <w:t>表4-6    本项目烘干废气产排情况一览表</w:t>
            </w:r>
          </w:p>
          <w:tbl>
            <w:tblPr>
              <w:tblStyle w:val="27"/>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763"/>
              <w:gridCol w:w="775"/>
              <w:gridCol w:w="662"/>
              <w:gridCol w:w="663"/>
              <w:gridCol w:w="862"/>
              <w:gridCol w:w="1225"/>
              <w:gridCol w:w="725"/>
              <w:gridCol w:w="713"/>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snapToGrid w:val="0"/>
                      <w:kern w:val="0"/>
                      <w:sz w:val="18"/>
                      <w:szCs w:val="18"/>
                    </w:rPr>
                  </w:pPr>
                  <w:r>
                    <w:rPr>
                      <w:rFonts w:hint="eastAsia"/>
                      <w:b/>
                      <w:bCs/>
                      <w:snapToGrid w:val="0"/>
                      <w:kern w:val="0"/>
                      <w:sz w:val="18"/>
                      <w:szCs w:val="18"/>
                    </w:rPr>
                    <w:t>方式</w:t>
                  </w:r>
                </w:p>
              </w:tc>
              <w:tc>
                <w:tcPr>
                  <w:tcW w:w="763" w:type="dxa"/>
                  <w:vMerge w:val="restart"/>
                  <w:vAlign w:val="center"/>
                </w:tcPr>
                <w:p>
                  <w:pPr>
                    <w:jc w:val="center"/>
                    <w:rPr>
                      <w:snapToGrid w:val="0"/>
                      <w:kern w:val="0"/>
                      <w:sz w:val="18"/>
                      <w:szCs w:val="18"/>
                    </w:rPr>
                  </w:pPr>
                  <w:r>
                    <w:rPr>
                      <w:rFonts w:hint="eastAsia"/>
                      <w:b/>
                      <w:bCs/>
                      <w:snapToGrid w:val="0"/>
                      <w:kern w:val="0"/>
                      <w:sz w:val="18"/>
                      <w:szCs w:val="18"/>
                    </w:rPr>
                    <w:t>污染源</w:t>
                  </w:r>
                </w:p>
              </w:tc>
              <w:tc>
                <w:tcPr>
                  <w:tcW w:w="775" w:type="dxa"/>
                  <w:vMerge w:val="restart"/>
                  <w:vAlign w:val="center"/>
                </w:tcPr>
                <w:p>
                  <w:pPr>
                    <w:jc w:val="center"/>
                    <w:rPr>
                      <w:snapToGrid w:val="0"/>
                      <w:kern w:val="0"/>
                      <w:sz w:val="18"/>
                      <w:szCs w:val="18"/>
                    </w:rPr>
                  </w:pPr>
                  <w:r>
                    <w:rPr>
                      <w:rFonts w:hint="eastAsia"/>
                      <w:b/>
                      <w:bCs/>
                      <w:snapToGrid w:val="0"/>
                      <w:kern w:val="0"/>
                      <w:sz w:val="18"/>
                      <w:szCs w:val="18"/>
                    </w:rPr>
                    <w:t>污染物</w:t>
                  </w:r>
                </w:p>
              </w:tc>
              <w:tc>
                <w:tcPr>
                  <w:tcW w:w="1325" w:type="dxa"/>
                  <w:gridSpan w:val="2"/>
                  <w:vAlign w:val="center"/>
                </w:tcPr>
                <w:p>
                  <w:pPr>
                    <w:jc w:val="center"/>
                    <w:rPr>
                      <w:snapToGrid w:val="0"/>
                      <w:kern w:val="0"/>
                      <w:sz w:val="18"/>
                      <w:szCs w:val="18"/>
                    </w:rPr>
                  </w:pPr>
                  <w:r>
                    <w:rPr>
                      <w:rFonts w:hint="eastAsia"/>
                      <w:b/>
                      <w:bCs/>
                      <w:snapToGrid w:val="0"/>
                      <w:kern w:val="0"/>
                      <w:sz w:val="18"/>
                      <w:szCs w:val="18"/>
                    </w:rPr>
                    <w:t>产生量</w:t>
                  </w:r>
                </w:p>
              </w:tc>
              <w:tc>
                <w:tcPr>
                  <w:tcW w:w="862" w:type="dxa"/>
                  <w:vMerge w:val="restart"/>
                  <w:vAlign w:val="center"/>
                </w:tcPr>
                <w:p>
                  <w:pPr>
                    <w:jc w:val="center"/>
                    <w:rPr>
                      <w:snapToGrid w:val="0"/>
                      <w:kern w:val="0"/>
                      <w:sz w:val="18"/>
                      <w:szCs w:val="18"/>
                    </w:rPr>
                  </w:pPr>
                  <w:r>
                    <w:rPr>
                      <w:rFonts w:hint="eastAsia"/>
                      <w:b/>
                      <w:bCs/>
                      <w:snapToGrid w:val="0"/>
                      <w:kern w:val="0"/>
                      <w:sz w:val="18"/>
                      <w:szCs w:val="18"/>
                    </w:rPr>
                    <w:t>产生浓度mg/m</w:t>
                  </w:r>
                  <w:r>
                    <w:rPr>
                      <w:rFonts w:hint="eastAsia"/>
                      <w:b/>
                      <w:bCs/>
                      <w:snapToGrid w:val="0"/>
                      <w:kern w:val="0"/>
                      <w:sz w:val="18"/>
                      <w:szCs w:val="18"/>
                      <w:vertAlign w:val="superscript"/>
                    </w:rPr>
                    <w:t>3</w:t>
                  </w:r>
                </w:p>
              </w:tc>
              <w:tc>
                <w:tcPr>
                  <w:tcW w:w="1225" w:type="dxa"/>
                  <w:vMerge w:val="restart"/>
                  <w:vAlign w:val="center"/>
                </w:tcPr>
                <w:p>
                  <w:pPr>
                    <w:jc w:val="center"/>
                    <w:rPr>
                      <w:snapToGrid w:val="0"/>
                      <w:kern w:val="0"/>
                      <w:sz w:val="18"/>
                      <w:szCs w:val="18"/>
                    </w:rPr>
                  </w:pPr>
                  <w:r>
                    <w:rPr>
                      <w:rFonts w:hint="eastAsia"/>
                      <w:b/>
                      <w:bCs/>
                      <w:snapToGrid w:val="0"/>
                      <w:kern w:val="0"/>
                      <w:sz w:val="18"/>
                      <w:szCs w:val="18"/>
                    </w:rPr>
                    <w:t>处理措施</w:t>
                  </w:r>
                </w:p>
              </w:tc>
              <w:tc>
                <w:tcPr>
                  <w:tcW w:w="1438" w:type="dxa"/>
                  <w:gridSpan w:val="2"/>
                  <w:vAlign w:val="center"/>
                </w:tcPr>
                <w:p>
                  <w:pPr>
                    <w:jc w:val="center"/>
                    <w:rPr>
                      <w:snapToGrid w:val="0"/>
                      <w:kern w:val="0"/>
                      <w:sz w:val="18"/>
                      <w:szCs w:val="18"/>
                    </w:rPr>
                  </w:pPr>
                  <w:r>
                    <w:rPr>
                      <w:rFonts w:hint="eastAsia"/>
                      <w:b/>
                      <w:bCs/>
                      <w:snapToGrid w:val="0"/>
                      <w:kern w:val="0"/>
                      <w:sz w:val="18"/>
                      <w:szCs w:val="18"/>
                    </w:rPr>
                    <w:t>排放量</w:t>
                  </w:r>
                </w:p>
              </w:tc>
              <w:tc>
                <w:tcPr>
                  <w:tcW w:w="731"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snapToGrid w:val="0"/>
                      <w:kern w:val="0"/>
                      <w:sz w:val="18"/>
                      <w:szCs w:val="18"/>
                    </w:rPr>
                  </w:pPr>
                  <w:r>
                    <w:rPr>
                      <w:rFonts w:hint="eastAsia"/>
                      <w:b/>
                      <w:bCs/>
                      <w:snapToGrid w:val="0"/>
                      <w:kern w:val="0"/>
                      <w:sz w:val="18"/>
                      <w:szCs w:val="18"/>
                    </w:rPr>
                    <w:t>浓度mg/m</w:t>
                  </w:r>
                  <w:r>
                    <w:rPr>
                      <w:rFonts w:hint="eastAsia"/>
                      <w:b/>
                      <w:bCs/>
                      <w:snapToGrid w:val="0"/>
                      <w:kern w:val="0"/>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continue"/>
                  <w:vAlign w:val="center"/>
                </w:tcPr>
                <w:p>
                  <w:pPr>
                    <w:jc w:val="center"/>
                    <w:rPr>
                      <w:snapToGrid w:val="0"/>
                      <w:kern w:val="0"/>
                      <w:sz w:val="18"/>
                      <w:szCs w:val="18"/>
                    </w:rPr>
                  </w:pPr>
                </w:p>
              </w:tc>
              <w:tc>
                <w:tcPr>
                  <w:tcW w:w="763" w:type="dxa"/>
                  <w:vMerge w:val="continue"/>
                  <w:vAlign w:val="center"/>
                </w:tcPr>
                <w:p>
                  <w:pPr>
                    <w:jc w:val="center"/>
                    <w:rPr>
                      <w:snapToGrid w:val="0"/>
                      <w:kern w:val="0"/>
                      <w:sz w:val="18"/>
                      <w:szCs w:val="18"/>
                    </w:rPr>
                  </w:pPr>
                </w:p>
              </w:tc>
              <w:tc>
                <w:tcPr>
                  <w:tcW w:w="775" w:type="dxa"/>
                  <w:vMerge w:val="continue"/>
                  <w:vAlign w:val="center"/>
                </w:tcPr>
                <w:p>
                  <w:pPr>
                    <w:jc w:val="center"/>
                    <w:rPr>
                      <w:snapToGrid w:val="0"/>
                      <w:kern w:val="0"/>
                      <w:sz w:val="18"/>
                      <w:szCs w:val="18"/>
                    </w:rPr>
                  </w:pPr>
                </w:p>
              </w:tc>
              <w:tc>
                <w:tcPr>
                  <w:tcW w:w="662" w:type="dxa"/>
                  <w:vAlign w:val="center"/>
                </w:tcPr>
                <w:p>
                  <w:pPr>
                    <w:jc w:val="center"/>
                    <w:rPr>
                      <w:snapToGrid w:val="0"/>
                      <w:kern w:val="0"/>
                      <w:sz w:val="18"/>
                      <w:szCs w:val="18"/>
                    </w:rPr>
                  </w:pPr>
                  <w:r>
                    <w:rPr>
                      <w:rFonts w:hint="eastAsia"/>
                      <w:b/>
                      <w:bCs/>
                      <w:snapToGrid w:val="0"/>
                      <w:kern w:val="0"/>
                      <w:sz w:val="18"/>
                      <w:szCs w:val="18"/>
                    </w:rPr>
                    <w:t>t/a</w:t>
                  </w:r>
                </w:p>
              </w:tc>
              <w:tc>
                <w:tcPr>
                  <w:tcW w:w="663" w:type="dxa"/>
                  <w:vAlign w:val="center"/>
                </w:tcPr>
                <w:p>
                  <w:pPr>
                    <w:jc w:val="center"/>
                    <w:rPr>
                      <w:snapToGrid w:val="0"/>
                      <w:kern w:val="0"/>
                      <w:sz w:val="18"/>
                      <w:szCs w:val="18"/>
                    </w:rPr>
                  </w:pPr>
                  <w:r>
                    <w:rPr>
                      <w:rFonts w:hint="eastAsia"/>
                      <w:b/>
                      <w:bCs/>
                      <w:snapToGrid w:val="0"/>
                      <w:kern w:val="0"/>
                      <w:sz w:val="18"/>
                      <w:szCs w:val="18"/>
                    </w:rPr>
                    <w:t>kg/h</w:t>
                  </w:r>
                </w:p>
              </w:tc>
              <w:tc>
                <w:tcPr>
                  <w:tcW w:w="862" w:type="dxa"/>
                  <w:vMerge w:val="continue"/>
                  <w:vAlign w:val="center"/>
                </w:tcPr>
                <w:p>
                  <w:pPr>
                    <w:jc w:val="center"/>
                    <w:rPr>
                      <w:snapToGrid w:val="0"/>
                      <w:kern w:val="0"/>
                      <w:sz w:val="18"/>
                      <w:szCs w:val="18"/>
                    </w:rPr>
                  </w:pPr>
                </w:p>
              </w:tc>
              <w:tc>
                <w:tcPr>
                  <w:tcW w:w="1225" w:type="dxa"/>
                  <w:vMerge w:val="continue"/>
                  <w:vAlign w:val="center"/>
                </w:tcPr>
                <w:p>
                  <w:pPr>
                    <w:jc w:val="center"/>
                    <w:rPr>
                      <w:snapToGrid w:val="0"/>
                      <w:kern w:val="0"/>
                      <w:sz w:val="18"/>
                      <w:szCs w:val="18"/>
                    </w:rPr>
                  </w:pPr>
                </w:p>
              </w:tc>
              <w:tc>
                <w:tcPr>
                  <w:tcW w:w="725" w:type="dxa"/>
                  <w:vAlign w:val="center"/>
                </w:tcPr>
                <w:p>
                  <w:pPr>
                    <w:jc w:val="center"/>
                    <w:rPr>
                      <w:snapToGrid w:val="0"/>
                      <w:kern w:val="0"/>
                      <w:sz w:val="18"/>
                      <w:szCs w:val="18"/>
                    </w:rPr>
                  </w:pPr>
                  <w:r>
                    <w:rPr>
                      <w:rFonts w:hint="eastAsia"/>
                      <w:b/>
                      <w:bCs/>
                      <w:snapToGrid w:val="0"/>
                      <w:kern w:val="0"/>
                      <w:sz w:val="18"/>
                      <w:szCs w:val="18"/>
                    </w:rPr>
                    <w:t>t/a</w:t>
                  </w:r>
                </w:p>
              </w:tc>
              <w:tc>
                <w:tcPr>
                  <w:tcW w:w="713" w:type="dxa"/>
                  <w:vAlign w:val="center"/>
                </w:tcPr>
                <w:p>
                  <w:pPr>
                    <w:jc w:val="center"/>
                    <w:rPr>
                      <w:snapToGrid w:val="0"/>
                      <w:kern w:val="0"/>
                      <w:sz w:val="18"/>
                      <w:szCs w:val="18"/>
                    </w:rPr>
                  </w:pPr>
                  <w:r>
                    <w:rPr>
                      <w:rFonts w:hint="eastAsia"/>
                      <w:b/>
                      <w:bCs/>
                      <w:snapToGrid w:val="0"/>
                      <w:kern w:val="0"/>
                      <w:sz w:val="18"/>
                      <w:szCs w:val="18"/>
                    </w:rPr>
                    <w:t>kg/h</w:t>
                  </w:r>
                </w:p>
              </w:tc>
              <w:tc>
                <w:tcPr>
                  <w:tcW w:w="731" w:type="dxa"/>
                  <w:vMerge w:val="continue"/>
                  <w:vAlign w:val="center"/>
                </w:tcPr>
                <w:p>
                  <w:pPr>
                    <w:jc w:val="center"/>
                    <w:rPr>
                      <w:snapToGrid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restart"/>
                  <w:vAlign w:val="center"/>
                </w:tcPr>
                <w:p>
                  <w:pPr>
                    <w:jc w:val="center"/>
                    <w:rPr>
                      <w:snapToGrid w:val="0"/>
                      <w:kern w:val="0"/>
                      <w:sz w:val="18"/>
                      <w:szCs w:val="18"/>
                    </w:rPr>
                  </w:pPr>
                  <w:r>
                    <w:rPr>
                      <w:rFonts w:hint="eastAsia"/>
                      <w:snapToGrid w:val="0"/>
                      <w:kern w:val="0"/>
                      <w:sz w:val="18"/>
                      <w:szCs w:val="18"/>
                    </w:rPr>
                    <w:t>有组织</w:t>
                  </w:r>
                </w:p>
              </w:tc>
              <w:tc>
                <w:tcPr>
                  <w:tcW w:w="763" w:type="dxa"/>
                  <w:vMerge w:val="restart"/>
                  <w:vAlign w:val="center"/>
                </w:tcPr>
                <w:p>
                  <w:pPr>
                    <w:jc w:val="center"/>
                    <w:rPr>
                      <w:snapToGrid w:val="0"/>
                      <w:kern w:val="0"/>
                      <w:sz w:val="18"/>
                      <w:szCs w:val="18"/>
                    </w:rPr>
                  </w:pPr>
                  <w:r>
                    <w:rPr>
                      <w:rFonts w:hint="eastAsia"/>
                      <w:snapToGrid w:val="0"/>
                      <w:kern w:val="0"/>
                      <w:sz w:val="18"/>
                      <w:szCs w:val="18"/>
                    </w:rPr>
                    <w:t>烘干机</w:t>
                  </w:r>
                </w:p>
              </w:tc>
              <w:tc>
                <w:tcPr>
                  <w:tcW w:w="775" w:type="dxa"/>
                  <w:vAlign w:val="center"/>
                </w:tcPr>
                <w:p>
                  <w:pPr>
                    <w:jc w:val="center"/>
                    <w:rPr>
                      <w:snapToGrid w:val="0"/>
                      <w:kern w:val="0"/>
                      <w:sz w:val="18"/>
                      <w:szCs w:val="18"/>
                    </w:rPr>
                  </w:pPr>
                  <w:r>
                    <w:rPr>
                      <w:rFonts w:hint="eastAsia"/>
                      <w:snapToGrid w:val="0"/>
                      <w:kern w:val="0"/>
                      <w:sz w:val="18"/>
                      <w:szCs w:val="18"/>
                    </w:rPr>
                    <w:t>颗粒物</w:t>
                  </w:r>
                </w:p>
              </w:tc>
              <w:tc>
                <w:tcPr>
                  <w:tcW w:w="6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32.42</w:t>
                  </w:r>
                </w:p>
              </w:tc>
              <w:tc>
                <w:tcPr>
                  <w:tcW w:w="6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16.21</w:t>
                  </w:r>
                </w:p>
              </w:tc>
              <w:tc>
                <w:tcPr>
                  <w:tcW w:w="8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1671.52</w:t>
                  </w:r>
                </w:p>
              </w:tc>
              <w:tc>
                <w:tcPr>
                  <w:tcW w:w="1225" w:type="dxa"/>
                  <w:vMerge w:val="restart"/>
                  <w:vAlign w:val="center"/>
                </w:tcPr>
                <w:p>
                  <w:pPr>
                    <w:jc w:val="center"/>
                    <w:rPr>
                      <w:snapToGrid w:val="0"/>
                      <w:kern w:val="0"/>
                      <w:sz w:val="18"/>
                      <w:szCs w:val="18"/>
                    </w:rPr>
                  </w:pPr>
                  <w:r>
                    <w:rPr>
                      <w:rFonts w:hint="eastAsia"/>
                      <w:snapToGrid w:val="0"/>
                      <w:kern w:val="0"/>
                      <w:sz w:val="18"/>
                      <w:szCs w:val="18"/>
                      <w:lang w:val="en-US" w:eastAsia="zh-CN"/>
                    </w:rPr>
                    <w:t>2级旋风除尘器（1#、2#）+</w:t>
                  </w:r>
                  <w:r>
                    <w:rPr>
                      <w:rFonts w:hint="eastAsia"/>
                      <w:snapToGrid w:val="0"/>
                      <w:kern w:val="0"/>
                      <w:sz w:val="18"/>
                      <w:szCs w:val="18"/>
                    </w:rPr>
                    <w:t>2级袋式除尘器（3#、4#）+排气筒（DA002）</w:t>
                  </w:r>
                </w:p>
              </w:tc>
              <w:tc>
                <w:tcPr>
                  <w:tcW w:w="725" w:type="dxa"/>
                  <w:vAlign w:val="center"/>
                </w:tcPr>
                <w:p>
                  <w:pPr>
                    <w:pStyle w:val="7"/>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outlineLvl w:val="9"/>
                    <w:rPr>
                      <w:rFonts w:hint="eastAsia" w:ascii="Times New Roman" w:hAnsi="Times New Roman" w:eastAsia="宋体" w:cs="Times New Roman"/>
                      <w:b/>
                      <w:bCs/>
                      <w:snapToGrid w:val="0"/>
                      <w:kern w:val="0"/>
                      <w:sz w:val="18"/>
                      <w:szCs w:val="18"/>
                      <w:u w:val="single"/>
                      <w:lang w:val="en-US" w:eastAsia="zh-CN" w:bidi="ar-SA"/>
                    </w:rPr>
                  </w:pPr>
                  <w:r>
                    <w:rPr>
                      <w:rFonts w:hint="eastAsia" w:ascii="Times New Roman" w:hAnsi="Times New Roman" w:eastAsia="宋体" w:cs="Times New Roman"/>
                      <w:b/>
                      <w:bCs/>
                      <w:snapToGrid w:val="0"/>
                      <w:kern w:val="0"/>
                      <w:sz w:val="18"/>
                      <w:szCs w:val="18"/>
                      <w:u w:val="single"/>
                      <w:lang w:val="en-US" w:eastAsia="zh-CN" w:bidi="ar-SA"/>
                    </w:rPr>
                    <w:t>0.013</w:t>
                  </w:r>
                </w:p>
              </w:tc>
              <w:tc>
                <w:tcPr>
                  <w:tcW w:w="713" w:type="dxa"/>
                  <w:vAlign w:val="center"/>
                </w:tcPr>
                <w:p>
                  <w:pPr>
                    <w:pStyle w:val="7"/>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outlineLvl w:val="9"/>
                    <w:rPr>
                      <w:rFonts w:hint="eastAsia" w:ascii="Times New Roman" w:hAnsi="Times New Roman" w:eastAsia="宋体" w:cs="Times New Roman"/>
                      <w:b/>
                      <w:bCs/>
                      <w:snapToGrid w:val="0"/>
                      <w:kern w:val="0"/>
                      <w:sz w:val="18"/>
                      <w:szCs w:val="18"/>
                      <w:u w:val="single"/>
                      <w:lang w:val="en-US" w:eastAsia="zh-CN" w:bidi="ar-SA"/>
                    </w:rPr>
                  </w:pPr>
                  <w:r>
                    <w:rPr>
                      <w:rFonts w:hint="eastAsia" w:ascii="Times New Roman" w:hAnsi="Times New Roman" w:eastAsia="宋体" w:cs="Times New Roman"/>
                      <w:b/>
                      <w:bCs/>
                      <w:snapToGrid w:val="0"/>
                      <w:kern w:val="0"/>
                      <w:sz w:val="18"/>
                      <w:szCs w:val="18"/>
                      <w:u w:val="single"/>
                      <w:lang w:val="en-US" w:eastAsia="zh-CN" w:bidi="ar-SA"/>
                    </w:rPr>
                    <w:t>0.0065</w:t>
                  </w:r>
                </w:p>
              </w:tc>
              <w:tc>
                <w:tcPr>
                  <w:tcW w:w="731" w:type="dxa"/>
                  <w:vAlign w:val="center"/>
                </w:tcPr>
                <w:p>
                  <w:pPr>
                    <w:jc w:val="center"/>
                    <w:rPr>
                      <w:rFonts w:hint="eastAsia" w:eastAsia="宋体"/>
                      <w:b/>
                      <w:bCs/>
                      <w:snapToGrid w:val="0"/>
                      <w:kern w:val="0"/>
                      <w:sz w:val="18"/>
                      <w:szCs w:val="18"/>
                      <w:u w:val="single"/>
                      <w:lang w:val="en-US" w:eastAsia="zh-CN"/>
                    </w:rPr>
                  </w:pPr>
                  <w:r>
                    <w:rPr>
                      <w:rFonts w:hint="eastAsia"/>
                      <w:b/>
                      <w:bCs/>
                      <w:snapToGrid w:val="0"/>
                      <w:kern w:val="0"/>
                      <w:sz w:val="18"/>
                      <w:szCs w:val="18"/>
                      <w:u w:val="single"/>
                      <w:lang w:val="en-US" w:eastAsia="zh-CN"/>
                    </w:rP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continue"/>
                  <w:vAlign w:val="center"/>
                </w:tcPr>
                <w:p>
                  <w:pPr>
                    <w:jc w:val="center"/>
                    <w:rPr>
                      <w:snapToGrid w:val="0"/>
                      <w:kern w:val="0"/>
                      <w:sz w:val="18"/>
                      <w:szCs w:val="18"/>
                    </w:rPr>
                  </w:pPr>
                </w:p>
              </w:tc>
              <w:tc>
                <w:tcPr>
                  <w:tcW w:w="763" w:type="dxa"/>
                  <w:vMerge w:val="continue"/>
                  <w:vAlign w:val="center"/>
                </w:tcPr>
                <w:p>
                  <w:pPr>
                    <w:jc w:val="center"/>
                    <w:rPr>
                      <w:snapToGrid w:val="0"/>
                      <w:kern w:val="0"/>
                      <w:sz w:val="18"/>
                      <w:szCs w:val="18"/>
                    </w:rPr>
                  </w:pPr>
                </w:p>
              </w:tc>
              <w:tc>
                <w:tcPr>
                  <w:tcW w:w="775" w:type="dxa"/>
                  <w:vAlign w:val="center"/>
                </w:tcPr>
                <w:p>
                  <w:pPr>
                    <w:jc w:val="center"/>
                    <w:rPr>
                      <w:snapToGrid w:val="0"/>
                      <w:kern w:val="0"/>
                      <w:sz w:val="18"/>
                      <w:szCs w:val="18"/>
                    </w:rPr>
                  </w:pPr>
                  <w:r>
                    <w:rPr>
                      <w:rFonts w:hint="eastAsia"/>
                      <w:snapToGrid w:val="0"/>
                      <w:kern w:val="0"/>
                      <w:sz w:val="18"/>
                      <w:szCs w:val="18"/>
                    </w:rPr>
                    <w:t>SO</w:t>
                  </w:r>
                  <w:r>
                    <w:rPr>
                      <w:rFonts w:hint="eastAsia"/>
                      <w:snapToGrid w:val="0"/>
                      <w:kern w:val="0"/>
                      <w:sz w:val="18"/>
                      <w:szCs w:val="18"/>
                      <w:vertAlign w:val="subscript"/>
                    </w:rPr>
                    <w:t>2</w:t>
                  </w:r>
                </w:p>
              </w:tc>
              <w:tc>
                <w:tcPr>
                  <w:tcW w:w="662" w:type="dxa"/>
                  <w:vAlign w:val="center"/>
                </w:tcPr>
                <w:p>
                  <w:pPr>
                    <w:jc w:val="center"/>
                    <w:rPr>
                      <w:snapToGrid w:val="0"/>
                      <w:kern w:val="0"/>
                      <w:sz w:val="18"/>
                      <w:szCs w:val="18"/>
                    </w:rPr>
                  </w:pPr>
                  <w:r>
                    <w:rPr>
                      <w:rFonts w:hint="eastAsia"/>
                      <w:snapToGrid w:val="0"/>
                      <w:kern w:val="0"/>
                      <w:sz w:val="18"/>
                      <w:szCs w:val="18"/>
                    </w:rPr>
                    <w:t>0.36</w:t>
                  </w:r>
                </w:p>
              </w:tc>
              <w:tc>
                <w:tcPr>
                  <w:tcW w:w="663" w:type="dxa"/>
                  <w:vAlign w:val="center"/>
                </w:tcPr>
                <w:p>
                  <w:pPr>
                    <w:jc w:val="center"/>
                    <w:rPr>
                      <w:snapToGrid w:val="0"/>
                      <w:kern w:val="0"/>
                      <w:sz w:val="18"/>
                      <w:szCs w:val="18"/>
                    </w:rPr>
                  </w:pPr>
                  <w:r>
                    <w:rPr>
                      <w:rFonts w:hint="eastAsia"/>
                      <w:snapToGrid w:val="0"/>
                      <w:kern w:val="0"/>
                      <w:sz w:val="18"/>
                      <w:szCs w:val="18"/>
                    </w:rPr>
                    <w:t>0.18</w:t>
                  </w:r>
                </w:p>
              </w:tc>
              <w:tc>
                <w:tcPr>
                  <w:tcW w:w="862" w:type="dxa"/>
                  <w:vAlign w:val="center"/>
                </w:tcPr>
                <w:p>
                  <w:pPr>
                    <w:jc w:val="center"/>
                    <w:rPr>
                      <w:snapToGrid w:val="0"/>
                      <w:kern w:val="0"/>
                      <w:sz w:val="18"/>
                      <w:szCs w:val="18"/>
                    </w:rPr>
                  </w:pPr>
                  <w:r>
                    <w:rPr>
                      <w:rFonts w:hint="eastAsia"/>
                      <w:snapToGrid w:val="0"/>
                      <w:kern w:val="0"/>
                      <w:sz w:val="18"/>
                      <w:szCs w:val="18"/>
                    </w:rPr>
                    <w:t>18.56</w:t>
                  </w:r>
                </w:p>
              </w:tc>
              <w:tc>
                <w:tcPr>
                  <w:tcW w:w="1225" w:type="dxa"/>
                  <w:vMerge w:val="continue"/>
                  <w:vAlign w:val="center"/>
                </w:tcPr>
                <w:p>
                  <w:pPr>
                    <w:jc w:val="center"/>
                    <w:rPr>
                      <w:snapToGrid w:val="0"/>
                      <w:kern w:val="0"/>
                      <w:sz w:val="18"/>
                      <w:szCs w:val="18"/>
                    </w:rPr>
                  </w:pPr>
                </w:p>
              </w:tc>
              <w:tc>
                <w:tcPr>
                  <w:tcW w:w="725" w:type="dxa"/>
                  <w:vAlign w:val="center"/>
                </w:tcPr>
                <w:p>
                  <w:pPr>
                    <w:jc w:val="center"/>
                    <w:rPr>
                      <w:snapToGrid w:val="0"/>
                      <w:kern w:val="0"/>
                      <w:sz w:val="18"/>
                      <w:szCs w:val="18"/>
                    </w:rPr>
                  </w:pPr>
                  <w:r>
                    <w:rPr>
                      <w:rFonts w:hint="eastAsia"/>
                      <w:snapToGrid w:val="0"/>
                      <w:kern w:val="0"/>
                      <w:sz w:val="18"/>
                      <w:szCs w:val="18"/>
                    </w:rPr>
                    <w:t>0.36</w:t>
                  </w:r>
                </w:p>
              </w:tc>
              <w:tc>
                <w:tcPr>
                  <w:tcW w:w="713" w:type="dxa"/>
                  <w:vAlign w:val="center"/>
                </w:tcPr>
                <w:p>
                  <w:pPr>
                    <w:jc w:val="center"/>
                    <w:rPr>
                      <w:snapToGrid w:val="0"/>
                      <w:kern w:val="0"/>
                      <w:sz w:val="18"/>
                      <w:szCs w:val="18"/>
                    </w:rPr>
                  </w:pPr>
                  <w:r>
                    <w:rPr>
                      <w:rFonts w:hint="eastAsia"/>
                      <w:snapToGrid w:val="0"/>
                      <w:kern w:val="0"/>
                      <w:sz w:val="18"/>
                      <w:szCs w:val="18"/>
                    </w:rPr>
                    <w:t>0.18</w:t>
                  </w:r>
                </w:p>
              </w:tc>
              <w:tc>
                <w:tcPr>
                  <w:tcW w:w="731" w:type="dxa"/>
                  <w:vAlign w:val="center"/>
                </w:tcPr>
                <w:p>
                  <w:pPr>
                    <w:jc w:val="center"/>
                    <w:rPr>
                      <w:snapToGrid w:val="0"/>
                      <w:kern w:val="0"/>
                      <w:sz w:val="18"/>
                      <w:szCs w:val="18"/>
                    </w:rPr>
                  </w:pPr>
                  <w:r>
                    <w:rPr>
                      <w:rFonts w:hint="eastAsia"/>
                      <w:snapToGrid w:val="0"/>
                      <w:kern w:val="0"/>
                      <w:sz w:val="18"/>
                      <w:szCs w:val="18"/>
                    </w:rPr>
                    <w:t>18.56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27" w:type="dxa"/>
                  <w:vMerge w:val="continue"/>
                  <w:vAlign w:val="center"/>
                </w:tcPr>
                <w:p>
                  <w:pPr>
                    <w:jc w:val="center"/>
                    <w:rPr>
                      <w:snapToGrid w:val="0"/>
                      <w:kern w:val="0"/>
                      <w:sz w:val="18"/>
                      <w:szCs w:val="18"/>
                    </w:rPr>
                  </w:pPr>
                </w:p>
              </w:tc>
              <w:tc>
                <w:tcPr>
                  <w:tcW w:w="763" w:type="dxa"/>
                  <w:vMerge w:val="continue"/>
                  <w:vAlign w:val="center"/>
                </w:tcPr>
                <w:p>
                  <w:pPr>
                    <w:jc w:val="center"/>
                    <w:rPr>
                      <w:snapToGrid w:val="0"/>
                      <w:kern w:val="0"/>
                      <w:sz w:val="18"/>
                      <w:szCs w:val="18"/>
                    </w:rPr>
                  </w:pPr>
                </w:p>
              </w:tc>
              <w:tc>
                <w:tcPr>
                  <w:tcW w:w="775" w:type="dxa"/>
                  <w:vAlign w:val="center"/>
                </w:tcPr>
                <w:p>
                  <w:pPr>
                    <w:jc w:val="center"/>
                    <w:rPr>
                      <w:snapToGrid w:val="0"/>
                      <w:kern w:val="0"/>
                      <w:sz w:val="18"/>
                      <w:szCs w:val="18"/>
                    </w:rPr>
                  </w:pPr>
                  <w:r>
                    <w:rPr>
                      <w:rFonts w:hint="eastAsia"/>
                      <w:snapToGrid w:val="0"/>
                      <w:kern w:val="0"/>
                      <w:sz w:val="18"/>
                      <w:szCs w:val="18"/>
                    </w:rPr>
                    <w:t>NOx</w:t>
                  </w:r>
                </w:p>
              </w:tc>
              <w:tc>
                <w:tcPr>
                  <w:tcW w:w="662" w:type="dxa"/>
                  <w:vAlign w:val="center"/>
                </w:tcPr>
                <w:p>
                  <w:pPr>
                    <w:jc w:val="center"/>
                    <w:rPr>
                      <w:snapToGrid w:val="0"/>
                      <w:kern w:val="0"/>
                      <w:sz w:val="18"/>
                      <w:szCs w:val="18"/>
                    </w:rPr>
                  </w:pPr>
                  <w:r>
                    <w:rPr>
                      <w:rFonts w:hint="eastAsia"/>
                      <w:snapToGrid w:val="0"/>
                      <w:kern w:val="0"/>
                      <w:sz w:val="18"/>
                      <w:szCs w:val="18"/>
                    </w:rPr>
                    <w:t>1.25</w:t>
                  </w:r>
                </w:p>
              </w:tc>
              <w:tc>
                <w:tcPr>
                  <w:tcW w:w="663" w:type="dxa"/>
                  <w:vAlign w:val="center"/>
                </w:tcPr>
                <w:p>
                  <w:pPr>
                    <w:jc w:val="center"/>
                    <w:rPr>
                      <w:snapToGrid w:val="0"/>
                      <w:kern w:val="0"/>
                      <w:sz w:val="18"/>
                      <w:szCs w:val="18"/>
                    </w:rPr>
                  </w:pPr>
                  <w:r>
                    <w:rPr>
                      <w:rFonts w:hint="eastAsia"/>
                      <w:snapToGrid w:val="0"/>
                      <w:kern w:val="0"/>
                      <w:sz w:val="18"/>
                      <w:szCs w:val="18"/>
                    </w:rPr>
                    <w:t>0.63</w:t>
                  </w:r>
                </w:p>
              </w:tc>
              <w:tc>
                <w:tcPr>
                  <w:tcW w:w="862" w:type="dxa"/>
                  <w:vAlign w:val="center"/>
                </w:tcPr>
                <w:p>
                  <w:pPr>
                    <w:jc w:val="center"/>
                    <w:rPr>
                      <w:snapToGrid w:val="0"/>
                      <w:kern w:val="0"/>
                      <w:sz w:val="18"/>
                      <w:szCs w:val="18"/>
                    </w:rPr>
                  </w:pPr>
                  <w:r>
                    <w:rPr>
                      <w:rFonts w:hint="eastAsia"/>
                      <w:snapToGrid w:val="0"/>
                      <w:kern w:val="0"/>
                      <w:sz w:val="18"/>
                      <w:szCs w:val="18"/>
                    </w:rPr>
                    <w:t>64.68</w:t>
                  </w:r>
                </w:p>
              </w:tc>
              <w:tc>
                <w:tcPr>
                  <w:tcW w:w="1225" w:type="dxa"/>
                  <w:vMerge w:val="continue"/>
                  <w:vAlign w:val="center"/>
                </w:tcPr>
                <w:p>
                  <w:pPr>
                    <w:jc w:val="center"/>
                    <w:rPr>
                      <w:snapToGrid w:val="0"/>
                      <w:kern w:val="0"/>
                      <w:sz w:val="18"/>
                      <w:szCs w:val="18"/>
                    </w:rPr>
                  </w:pPr>
                </w:p>
              </w:tc>
              <w:tc>
                <w:tcPr>
                  <w:tcW w:w="725" w:type="dxa"/>
                  <w:vAlign w:val="center"/>
                </w:tcPr>
                <w:p>
                  <w:pPr>
                    <w:jc w:val="center"/>
                    <w:rPr>
                      <w:snapToGrid w:val="0"/>
                      <w:kern w:val="0"/>
                      <w:sz w:val="18"/>
                      <w:szCs w:val="18"/>
                    </w:rPr>
                  </w:pPr>
                  <w:r>
                    <w:rPr>
                      <w:rFonts w:hint="eastAsia"/>
                      <w:snapToGrid w:val="0"/>
                      <w:kern w:val="0"/>
                      <w:sz w:val="18"/>
                      <w:szCs w:val="18"/>
                    </w:rPr>
                    <w:t>1.25</w:t>
                  </w:r>
                </w:p>
              </w:tc>
              <w:tc>
                <w:tcPr>
                  <w:tcW w:w="713" w:type="dxa"/>
                  <w:vAlign w:val="center"/>
                </w:tcPr>
                <w:p>
                  <w:pPr>
                    <w:jc w:val="center"/>
                    <w:rPr>
                      <w:snapToGrid w:val="0"/>
                      <w:kern w:val="0"/>
                      <w:sz w:val="18"/>
                      <w:szCs w:val="18"/>
                    </w:rPr>
                  </w:pPr>
                  <w:r>
                    <w:rPr>
                      <w:rFonts w:hint="eastAsia"/>
                      <w:snapToGrid w:val="0"/>
                      <w:kern w:val="0"/>
                      <w:sz w:val="18"/>
                      <w:szCs w:val="18"/>
                    </w:rPr>
                    <w:t>0.63</w:t>
                  </w:r>
                </w:p>
              </w:tc>
              <w:tc>
                <w:tcPr>
                  <w:tcW w:w="731" w:type="dxa"/>
                  <w:vAlign w:val="center"/>
                </w:tcPr>
                <w:p>
                  <w:pPr>
                    <w:jc w:val="center"/>
                    <w:rPr>
                      <w:snapToGrid w:val="0"/>
                      <w:kern w:val="0"/>
                      <w:sz w:val="18"/>
                      <w:szCs w:val="18"/>
                    </w:rPr>
                  </w:pPr>
                  <w:r>
                    <w:rPr>
                      <w:rFonts w:hint="eastAsia"/>
                      <w:snapToGrid w:val="0"/>
                      <w:kern w:val="0"/>
                      <w:sz w:val="18"/>
                      <w:szCs w:val="18"/>
                    </w:rPr>
                    <w:t>64.68</w:t>
                  </w:r>
                </w:p>
              </w:tc>
            </w:tr>
          </w:tbl>
          <w:p>
            <w:pPr>
              <w:spacing w:line="360" w:lineRule="auto"/>
              <w:ind w:firstLine="480" w:firstLineChars="200"/>
              <w:rPr>
                <w:rFonts w:hint="eastAsia"/>
                <w:sz w:val="24"/>
              </w:rPr>
            </w:pPr>
            <w:bookmarkStart w:id="5" w:name="OLE_LINK5"/>
            <w:r>
              <w:rPr>
                <w:rFonts w:hint="eastAsia"/>
                <w:snapToGrid w:val="0"/>
                <w:kern w:val="0"/>
                <w:sz w:val="24"/>
              </w:rPr>
              <w:t>由表4-6可知，本项目烘干工序产生的废气，</w:t>
            </w:r>
            <w:r>
              <w:rPr>
                <w:rFonts w:hint="eastAsia"/>
                <w:snapToGrid w:val="0"/>
                <w:kern w:val="0"/>
                <w:sz w:val="24"/>
                <w:lang w:val="en-US" w:eastAsia="zh-CN"/>
              </w:rPr>
              <w:t>先经过2级旋风除尘器处理后，再</w:t>
            </w:r>
            <w:r>
              <w:rPr>
                <w:rFonts w:hint="eastAsia"/>
                <w:snapToGrid w:val="0"/>
                <w:kern w:val="0"/>
                <w:sz w:val="24"/>
              </w:rPr>
              <w:t>经</w:t>
            </w:r>
            <w:r>
              <w:rPr>
                <w:rFonts w:hint="eastAsia"/>
                <w:snapToGrid w:val="0"/>
                <w:kern w:val="0"/>
                <w:sz w:val="24"/>
                <w:lang w:val="en-US" w:eastAsia="zh-CN"/>
              </w:rPr>
              <w:t>过</w:t>
            </w:r>
            <w:r>
              <w:rPr>
                <w:rFonts w:hint="eastAsia"/>
                <w:snapToGrid w:val="0"/>
                <w:kern w:val="0"/>
                <w:sz w:val="24"/>
              </w:rPr>
              <w:t>2级袋式除尘器处理，</w:t>
            </w:r>
            <w:r>
              <w:rPr>
                <w:rFonts w:hint="eastAsia"/>
                <w:snapToGrid w:val="0"/>
                <w:kern w:val="0"/>
                <w:sz w:val="24"/>
                <w:lang w:val="en-US" w:eastAsia="zh-CN"/>
              </w:rPr>
              <w:t>之后</w:t>
            </w:r>
            <w:r>
              <w:rPr>
                <w:rFonts w:hint="eastAsia"/>
                <w:snapToGrid w:val="0"/>
                <w:kern w:val="0"/>
                <w:sz w:val="24"/>
              </w:rPr>
              <w:t>由一根15m高的排气筒（DA002）排放，</w:t>
            </w:r>
            <w:bookmarkStart w:id="6" w:name="OLE_LINK6"/>
            <w:r>
              <w:rPr>
                <w:rFonts w:hint="eastAsia"/>
                <w:snapToGrid w:val="0"/>
                <w:kern w:val="0"/>
                <w:sz w:val="24"/>
              </w:rPr>
              <w:t>颗粒物、SO</w:t>
            </w:r>
            <w:r>
              <w:rPr>
                <w:rFonts w:hint="eastAsia"/>
                <w:snapToGrid w:val="0"/>
                <w:kern w:val="0"/>
                <w:sz w:val="24"/>
                <w:vertAlign w:val="subscript"/>
              </w:rPr>
              <w:t>2</w:t>
            </w:r>
            <w:r>
              <w:rPr>
                <w:rFonts w:hint="eastAsia"/>
                <w:snapToGrid w:val="0"/>
                <w:kern w:val="0"/>
                <w:sz w:val="24"/>
              </w:rPr>
              <w:t>、NOx排放浓度均可满足</w:t>
            </w:r>
            <w:r>
              <w:rPr>
                <w:sz w:val="24"/>
              </w:rPr>
              <w:t>《工业炉窑大气污染物排放标准》</w:t>
            </w:r>
            <w:r>
              <w:rPr>
                <w:rFonts w:hint="eastAsia"/>
                <w:sz w:val="24"/>
              </w:rPr>
              <w:t>（</w:t>
            </w:r>
            <w:r>
              <w:rPr>
                <w:sz w:val="24"/>
              </w:rPr>
              <w:t>DB41/1066-</w:t>
            </w:r>
            <w:r>
              <w:rPr>
                <w:rFonts w:hint="eastAsia"/>
                <w:sz w:val="24"/>
              </w:rPr>
              <w:t>2020）排放限值（颗粒物</w:t>
            </w:r>
            <w:r>
              <w:rPr>
                <w:rFonts w:hint="eastAsia"/>
                <w:snapToGrid w:val="0"/>
                <w:kern w:val="0"/>
                <w:sz w:val="24"/>
              </w:rPr>
              <w:t>10mg/m</w:t>
            </w:r>
            <w:r>
              <w:rPr>
                <w:rFonts w:hint="eastAsia"/>
                <w:snapToGrid w:val="0"/>
                <w:kern w:val="0"/>
                <w:sz w:val="24"/>
                <w:vertAlign w:val="superscript"/>
              </w:rPr>
              <w:t>3</w:t>
            </w:r>
            <w:r>
              <w:rPr>
                <w:rFonts w:hint="eastAsia"/>
                <w:snapToGrid w:val="0"/>
                <w:kern w:val="0"/>
                <w:sz w:val="24"/>
              </w:rPr>
              <w:t>，SO</w:t>
            </w:r>
            <w:r>
              <w:rPr>
                <w:rFonts w:hint="eastAsia"/>
                <w:snapToGrid w:val="0"/>
                <w:kern w:val="0"/>
                <w:sz w:val="24"/>
                <w:vertAlign w:val="subscript"/>
              </w:rPr>
              <w:t>2</w:t>
            </w:r>
            <w:r>
              <w:rPr>
                <w:rFonts w:hint="eastAsia"/>
                <w:snapToGrid w:val="0"/>
                <w:kern w:val="0"/>
                <w:sz w:val="24"/>
              </w:rPr>
              <w:t>50mg/m</w:t>
            </w:r>
            <w:r>
              <w:rPr>
                <w:rFonts w:hint="eastAsia"/>
                <w:snapToGrid w:val="0"/>
                <w:kern w:val="0"/>
                <w:sz w:val="24"/>
                <w:vertAlign w:val="superscript"/>
              </w:rPr>
              <w:t>3</w:t>
            </w:r>
            <w:r>
              <w:rPr>
                <w:rFonts w:hint="eastAsia"/>
                <w:snapToGrid w:val="0"/>
                <w:kern w:val="0"/>
                <w:sz w:val="24"/>
              </w:rPr>
              <w:t>，NOx100mg/m</w:t>
            </w:r>
            <w:r>
              <w:rPr>
                <w:rFonts w:hint="eastAsia"/>
                <w:snapToGrid w:val="0"/>
                <w:kern w:val="0"/>
                <w:sz w:val="24"/>
                <w:vertAlign w:val="superscript"/>
              </w:rPr>
              <w:t>3</w:t>
            </w:r>
            <w:r>
              <w:rPr>
                <w:rFonts w:hint="eastAsia"/>
                <w:sz w:val="24"/>
              </w:rPr>
              <w:t>）要求。</w:t>
            </w:r>
            <w:bookmarkEnd w:id="6"/>
          </w:p>
          <w:bookmarkEnd w:id="5"/>
          <w:p>
            <w:pPr>
              <w:spacing w:line="360" w:lineRule="auto"/>
              <w:ind w:firstLine="482" w:firstLineChars="200"/>
              <w:rPr>
                <w:rFonts w:hint="eastAsia" w:ascii="Times New Roman" w:hAnsi="Times New Roman" w:cs="Times New Roman"/>
                <w:b/>
                <w:bCs/>
                <w:snapToGrid w:val="0"/>
                <w:kern w:val="0"/>
                <w:sz w:val="24"/>
                <w:u w:val="single"/>
                <w:lang w:val="en-US" w:eastAsia="zh-CN"/>
              </w:rPr>
            </w:pPr>
            <w:r>
              <w:rPr>
                <w:rFonts w:hint="eastAsia" w:cs="Times New Roman"/>
                <w:b/>
                <w:bCs/>
                <w:snapToGrid w:val="0"/>
                <w:kern w:val="0"/>
                <w:sz w:val="24"/>
                <w:u w:val="single"/>
                <w:lang w:val="en-US" w:eastAsia="zh-CN"/>
              </w:rPr>
              <w:t>1.1.1.3</w:t>
            </w:r>
            <w:r>
              <w:rPr>
                <w:rFonts w:hint="eastAsia"/>
                <w:b/>
                <w:bCs/>
                <w:snapToGrid w:val="0"/>
                <w:kern w:val="0"/>
                <w:sz w:val="24"/>
                <w:u w:val="single"/>
                <w:lang w:val="en-US" w:eastAsia="zh-CN"/>
              </w:rPr>
              <w:t>成品料仓颗粒物、成品包装工序颗粒物</w:t>
            </w:r>
          </w:p>
          <w:p>
            <w:pPr>
              <w:spacing w:line="360" w:lineRule="auto"/>
              <w:ind w:firstLine="482" w:firstLineChars="200"/>
              <w:rPr>
                <w:rFonts w:hint="eastAsia" w:ascii="Times New Roman" w:hAnsi="Times New Roman" w:cs="Times New Roman"/>
                <w:b/>
                <w:bCs/>
                <w:snapToGrid w:val="0"/>
                <w:kern w:val="0"/>
                <w:sz w:val="24"/>
                <w:u w:val="single"/>
                <w:lang w:val="en-US" w:eastAsia="zh-CN"/>
              </w:rPr>
            </w:pPr>
            <w:r>
              <w:rPr>
                <w:rFonts w:hint="eastAsia" w:ascii="Times New Roman" w:hAnsi="Times New Roman" w:cs="Times New Roman"/>
                <w:b/>
                <w:bCs/>
                <w:snapToGrid w:val="0"/>
                <w:kern w:val="0"/>
                <w:sz w:val="24"/>
                <w:u w:val="single"/>
                <w:lang w:val="en-US" w:eastAsia="zh-CN"/>
              </w:rPr>
              <w:t>（</w:t>
            </w:r>
            <w:r>
              <w:rPr>
                <w:rFonts w:hint="eastAsia" w:cs="Times New Roman"/>
                <w:b/>
                <w:bCs/>
                <w:snapToGrid w:val="0"/>
                <w:kern w:val="0"/>
                <w:sz w:val="24"/>
                <w:u w:val="single"/>
                <w:lang w:val="en-US" w:eastAsia="zh-CN"/>
              </w:rPr>
              <w:t>1</w:t>
            </w:r>
            <w:r>
              <w:rPr>
                <w:rFonts w:hint="eastAsia" w:ascii="Times New Roman" w:hAnsi="Times New Roman" w:cs="Times New Roman"/>
                <w:b/>
                <w:bCs/>
                <w:snapToGrid w:val="0"/>
                <w:kern w:val="0"/>
                <w:sz w:val="24"/>
                <w:u w:val="single"/>
                <w:lang w:val="en-US" w:eastAsia="zh-CN"/>
              </w:rPr>
              <w:t>）成品料仓颗粒物</w:t>
            </w:r>
          </w:p>
          <w:p>
            <w:pPr>
              <w:spacing w:line="360" w:lineRule="auto"/>
              <w:ind w:firstLine="482" w:firstLineChars="200"/>
              <w:rPr>
                <w:rFonts w:hint="eastAsia" w:ascii="Times New Roman" w:hAnsi="Times New Roman" w:eastAsia="宋体" w:cs="Times New Roman"/>
                <w:snapToGrid w:val="0"/>
                <w:kern w:val="0"/>
                <w:sz w:val="24"/>
                <w:lang w:val="en-US" w:eastAsia="zh-CN"/>
              </w:rPr>
            </w:pPr>
            <w:r>
              <w:rPr>
                <w:rFonts w:hint="eastAsia" w:ascii="Times New Roman" w:hAnsi="Times New Roman" w:cs="Times New Roman"/>
                <w:b/>
                <w:bCs/>
                <w:snapToGrid w:val="0"/>
                <w:kern w:val="0"/>
                <w:sz w:val="24"/>
                <w:u w:val="single"/>
                <w:lang w:val="en-US" w:eastAsia="zh-CN"/>
              </w:rPr>
              <w:t>本项目共设置3个成品料仓，用于盛放产品。产品在经提升机输送至成品料仓的过程中，会有少量的粉料随着空气由仓顶排出。根据项目备案，项目产能为8万t/a，参考第二次全国污染源普查水泥制品制造业工业污染物产生量和排放量的核算办法，粉尘产生量为0.13kg/t-产品，废气量20标m³/t-产品。计算可得粉尘产生量为10.4t/a，废气量为160万m³/a，本项目年工作时间为2000h。本项目共有3个成品料仓，每个料仓粉尘产生量及废气量均相同，则单个料仓粉尘产生量为3.47t/a，废气产生量为53.3万m³/a，粉尘产生浓度为6505.44mg/m³。根据设计资料，每个料仓上方均设置有一套袋式除尘器，袋式除尘器处理效率按99.9%计，则单个料仓粉尘排放量为0.00347t/a，排放浓度为6.5mg/m³。3个料仓产生的废气经各自料仓上方设置的袋式除尘器（5#、6#、7#）处理后</w:t>
            </w:r>
            <w:r>
              <w:rPr>
                <w:rFonts w:hint="eastAsia" w:cs="Times New Roman"/>
                <w:b/>
                <w:bCs/>
                <w:snapToGrid w:val="0"/>
                <w:kern w:val="0"/>
                <w:sz w:val="24"/>
                <w:u w:val="single"/>
                <w:lang w:val="en-US" w:eastAsia="zh-CN"/>
              </w:rPr>
              <w:t>由</w:t>
            </w:r>
            <w:r>
              <w:rPr>
                <w:rFonts w:hint="eastAsia" w:ascii="Times New Roman" w:hAnsi="Times New Roman" w:cs="Times New Roman"/>
                <w:b/>
                <w:bCs/>
                <w:snapToGrid w:val="0"/>
                <w:kern w:val="0"/>
                <w:sz w:val="24"/>
                <w:u w:val="single"/>
                <w:lang w:val="en-US" w:eastAsia="zh-CN"/>
              </w:rPr>
              <w:t>一根排气筒DA00</w:t>
            </w:r>
            <w:r>
              <w:rPr>
                <w:rFonts w:hint="eastAsia" w:cs="Times New Roman"/>
                <w:b/>
                <w:bCs/>
                <w:snapToGrid w:val="0"/>
                <w:kern w:val="0"/>
                <w:sz w:val="24"/>
                <w:u w:val="single"/>
                <w:lang w:val="en-US" w:eastAsia="zh-CN"/>
              </w:rPr>
              <w:t>3</w:t>
            </w:r>
            <w:r>
              <w:rPr>
                <w:rFonts w:hint="eastAsia" w:ascii="Times New Roman" w:hAnsi="Times New Roman" w:cs="Times New Roman"/>
                <w:b/>
                <w:bCs/>
                <w:snapToGrid w:val="0"/>
                <w:kern w:val="0"/>
                <w:sz w:val="24"/>
                <w:u w:val="single"/>
                <w:lang w:val="en-US" w:eastAsia="zh-CN"/>
              </w:rPr>
              <w:t>排放。</w:t>
            </w:r>
          </w:p>
          <w:p>
            <w:pPr>
              <w:spacing w:line="360" w:lineRule="auto"/>
              <w:ind w:firstLine="482" w:firstLineChars="200"/>
              <w:rPr>
                <w:rFonts w:hint="eastAsia" w:ascii="Times New Roman" w:hAnsi="Times New Roman" w:cs="Times New Roman"/>
                <w:b/>
                <w:bCs/>
                <w:snapToGrid w:val="0"/>
                <w:kern w:val="0"/>
                <w:sz w:val="24"/>
                <w:u w:val="single"/>
                <w:lang w:val="en-US" w:eastAsia="zh-CN"/>
              </w:rPr>
            </w:pPr>
            <w:r>
              <w:rPr>
                <w:rFonts w:hint="eastAsia" w:ascii="Times New Roman" w:hAnsi="Times New Roman" w:cs="Times New Roman"/>
                <w:b/>
                <w:bCs/>
                <w:snapToGrid w:val="0"/>
                <w:kern w:val="0"/>
                <w:sz w:val="24"/>
                <w:u w:val="single"/>
                <w:lang w:val="en-US" w:eastAsia="zh-CN"/>
              </w:rPr>
              <w:t>（</w:t>
            </w:r>
            <w:r>
              <w:rPr>
                <w:rFonts w:hint="eastAsia" w:cs="Times New Roman"/>
                <w:b/>
                <w:bCs/>
                <w:snapToGrid w:val="0"/>
                <w:kern w:val="0"/>
                <w:sz w:val="24"/>
                <w:u w:val="single"/>
                <w:lang w:val="en-US" w:eastAsia="zh-CN"/>
              </w:rPr>
              <w:t>2</w:t>
            </w:r>
            <w:r>
              <w:rPr>
                <w:rFonts w:hint="eastAsia" w:ascii="Times New Roman" w:hAnsi="Times New Roman" w:cs="Times New Roman"/>
                <w:b/>
                <w:bCs/>
                <w:snapToGrid w:val="0"/>
                <w:kern w:val="0"/>
                <w:sz w:val="24"/>
                <w:u w:val="single"/>
                <w:lang w:val="en-US" w:eastAsia="zh-CN"/>
              </w:rPr>
              <w:t>）包装工序颗粒物</w:t>
            </w:r>
          </w:p>
          <w:p>
            <w:pPr>
              <w:spacing w:line="360" w:lineRule="auto"/>
              <w:ind w:firstLine="482" w:firstLineChars="200"/>
              <w:rPr>
                <w:rFonts w:hint="eastAsia" w:ascii="Times New Roman" w:hAnsi="Times New Roman" w:cs="Times New Roman"/>
                <w:b/>
                <w:bCs/>
                <w:snapToGrid w:val="0"/>
                <w:kern w:val="0"/>
                <w:sz w:val="24"/>
                <w:u w:val="single"/>
                <w:lang w:val="en-US" w:eastAsia="zh-CN"/>
              </w:rPr>
            </w:pPr>
            <w:r>
              <w:rPr>
                <w:rFonts w:hint="eastAsia" w:ascii="Times New Roman" w:hAnsi="Times New Roman" w:cs="Times New Roman"/>
                <w:b/>
                <w:bCs/>
                <w:snapToGrid w:val="0"/>
                <w:kern w:val="0"/>
                <w:sz w:val="24"/>
                <w:u w:val="single"/>
                <w:lang w:val="en-US" w:eastAsia="zh-CN"/>
              </w:rPr>
              <w:t>本项目采用负压包装方式，将成品料仓内的成品，通过采取负压的方式抽至自动包装机，在产品入包装袋的瞬间，会产生少量的粉尘，此部分粉尘产生量按0.1‰进行核算，则此部分粉尘产生量为8t/a。本项目共有3台包装机，每台包装机上方均设置有一套袋式除尘器，3台包装机粉尘产生量均相同，则单台包装机粉尘产生量为2.67t/a，袋式除尘器风量按</w:t>
            </w:r>
            <w:r>
              <w:rPr>
                <w:rFonts w:hint="eastAsia" w:cs="Times New Roman"/>
                <w:b/>
                <w:bCs/>
                <w:snapToGrid w:val="0"/>
                <w:kern w:val="0"/>
                <w:sz w:val="24"/>
                <w:u w:val="single"/>
                <w:lang w:val="en-US" w:eastAsia="zh-CN"/>
              </w:rPr>
              <w:t>300</w:t>
            </w:r>
            <w:r>
              <w:rPr>
                <w:rFonts w:hint="eastAsia" w:ascii="Times New Roman" w:hAnsi="Times New Roman" w:cs="Times New Roman"/>
                <w:b/>
                <w:bCs/>
                <w:snapToGrid w:val="0"/>
                <w:kern w:val="0"/>
                <w:sz w:val="24"/>
                <w:u w:val="single"/>
                <w:lang w:val="en-US" w:eastAsia="zh-CN"/>
              </w:rPr>
              <w:t>m³/h计，则单台粉尘产生浓度为</w:t>
            </w:r>
            <w:r>
              <w:rPr>
                <w:rFonts w:hint="eastAsia" w:cs="Times New Roman"/>
                <w:b/>
                <w:bCs/>
                <w:snapToGrid w:val="0"/>
                <w:kern w:val="0"/>
                <w:sz w:val="24"/>
                <w:u w:val="single"/>
                <w:lang w:val="en-US" w:eastAsia="zh-CN"/>
              </w:rPr>
              <w:t>4450</w:t>
            </w:r>
            <w:r>
              <w:rPr>
                <w:rFonts w:hint="eastAsia" w:ascii="Times New Roman" w:hAnsi="Times New Roman" w:cs="Times New Roman"/>
                <w:b/>
                <w:bCs/>
                <w:snapToGrid w:val="0"/>
                <w:kern w:val="0"/>
                <w:sz w:val="24"/>
                <w:u w:val="single"/>
                <w:lang w:val="en-US" w:eastAsia="zh-CN"/>
              </w:rPr>
              <w:t>mg/m³。袋式除尘器处理效率按99.9%计，则单个料仓粉尘排放量为0.00267t/a，排放浓度为</w:t>
            </w:r>
            <w:r>
              <w:rPr>
                <w:rFonts w:hint="eastAsia" w:cs="Times New Roman"/>
                <w:b/>
                <w:bCs/>
                <w:snapToGrid w:val="0"/>
                <w:kern w:val="0"/>
                <w:sz w:val="24"/>
                <w:u w:val="single"/>
                <w:lang w:val="en-US" w:eastAsia="zh-CN"/>
              </w:rPr>
              <w:t>4.45</w:t>
            </w:r>
            <w:r>
              <w:rPr>
                <w:rFonts w:hint="eastAsia" w:ascii="Times New Roman" w:hAnsi="Times New Roman" w:cs="Times New Roman"/>
                <w:b/>
                <w:bCs/>
                <w:snapToGrid w:val="0"/>
                <w:kern w:val="0"/>
                <w:sz w:val="24"/>
                <w:u w:val="single"/>
                <w:lang w:val="en-US" w:eastAsia="zh-CN"/>
              </w:rPr>
              <w:t>mg/m³。3台包装机产生的废气经各自上方设置的袋式除尘器处理后与</w:t>
            </w:r>
            <w:r>
              <w:rPr>
                <w:rFonts w:hint="eastAsia" w:cs="Times New Roman"/>
                <w:b/>
                <w:bCs/>
                <w:snapToGrid w:val="0"/>
                <w:kern w:val="0"/>
                <w:sz w:val="24"/>
                <w:u w:val="single"/>
                <w:lang w:val="en-US" w:eastAsia="zh-CN"/>
              </w:rPr>
              <w:t>成品料仓废气</w:t>
            </w:r>
            <w:r>
              <w:rPr>
                <w:rFonts w:hint="eastAsia" w:ascii="Times New Roman" w:hAnsi="Times New Roman" w:cs="Times New Roman"/>
                <w:b/>
                <w:bCs/>
                <w:snapToGrid w:val="0"/>
                <w:kern w:val="0"/>
                <w:sz w:val="24"/>
                <w:u w:val="single"/>
                <w:lang w:val="en-US" w:eastAsia="zh-CN"/>
              </w:rPr>
              <w:t>共用一根排气筒DA00</w:t>
            </w:r>
            <w:r>
              <w:rPr>
                <w:rFonts w:hint="eastAsia" w:cs="Times New Roman"/>
                <w:b/>
                <w:bCs/>
                <w:snapToGrid w:val="0"/>
                <w:kern w:val="0"/>
                <w:sz w:val="24"/>
                <w:u w:val="single"/>
                <w:lang w:val="en-US" w:eastAsia="zh-CN"/>
              </w:rPr>
              <w:t>3</w:t>
            </w:r>
            <w:r>
              <w:rPr>
                <w:rFonts w:hint="eastAsia" w:ascii="Times New Roman" w:hAnsi="Times New Roman" w:cs="Times New Roman"/>
                <w:b/>
                <w:bCs/>
                <w:snapToGrid w:val="0"/>
                <w:kern w:val="0"/>
                <w:sz w:val="24"/>
                <w:u w:val="single"/>
                <w:lang w:val="en-US" w:eastAsia="zh-CN"/>
              </w:rPr>
              <w:t>排放。</w:t>
            </w:r>
          </w:p>
          <w:p>
            <w:pPr>
              <w:spacing w:line="360" w:lineRule="auto"/>
              <w:ind w:firstLine="482" w:firstLineChars="200"/>
              <w:rPr>
                <w:b/>
                <w:bCs/>
                <w:snapToGrid w:val="0"/>
                <w:kern w:val="0"/>
                <w:sz w:val="24"/>
                <w:u w:val="single"/>
              </w:rPr>
            </w:pPr>
            <w:r>
              <w:rPr>
                <w:rFonts w:hint="eastAsia" w:ascii="Times New Roman" w:hAnsi="Times New Roman" w:cs="Times New Roman"/>
                <w:b/>
                <w:bCs/>
                <w:snapToGrid w:val="0"/>
                <w:kern w:val="0"/>
                <w:sz w:val="24"/>
                <w:u w:val="single"/>
                <w:lang w:val="en-US" w:eastAsia="zh-CN"/>
              </w:rPr>
              <w:t>（</w:t>
            </w:r>
            <w:r>
              <w:rPr>
                <w:rFonts w:hint="eastAsia" w:cs="Times New Roman"/>
                <w:b/>
                <w:bCs/>
                <w:snapToGrid w:val="0"/>
                <w:kern w:val="0"/>
                <w:sz w:val="24"/>
                <w:u w:val="single"/>
                <w:lang w:val="en-US" w:eastAsia="zh-CN"/>
              </w:rPr>
              <w:t>3</w:t>
            </w:r>
            <w:r>
              <w:rPr>
                <w:rFonts w:hint="eastAsia" w:ascii="Times New Roman" w:hAnsi="Times New Roman" w:cs="Times New Roman"/>
                <w:b/>
                <w:bCs/>
                <w:snapToGrid w:val="0"/>
                <w:kern w:val="0"/>
                <w:sz w:val="24"/>
                <w:u w:val="single"/>
                <w:lang w:val="en-US" w:eastAsia="zh-CN"/>
              </w:rPr>
              <w:t>）</w:t>
            </w:r>
            <w:r>
              <w:rPr>
                <w:rFonts w:hint="eastAsia"/>
                <w:b/>
                <w:bCs/>
                <w:snapToGrid w:val="0"/>
                <w:kern w:val="0"/>
                <w:sz w:val="24"/>
                <w:u w:val="single"/>
              </w:rPr>
              <w:t>排气筒DA00</w:t>
            </w:r>
            <w:r>
              <w:rPr>
                <w:rFonts w:hint="eastAsia"/>
                <w:b/>
                <w:bCs/>
                <w:snapToGrid w:val="0"/>
                <w:kern w:val="0"/>
                <w:sz w:val="24"/>
                <w:u w:val="single"/>
                <w:lang w:val="en-US" w:eastAsia="zh-CN"/>
              </w:rPr>
              <w:t>3</w:t>
            </w:r>
            <w:r>
              <w:rPr>
                <w:rFonts w:hint="eastAsia"/>
                <w:b/>
                <w:bCs/>
                <w:snapToGrid w:val="0"/>
                <w:kern w:val="0"/>
                <w:sz w:val="24"/>
                <w:u w:val="single"/>
              </w:rPr>
              <w:t>排放污染物情况</w:t>
            </w:r>
          </w:p>
          <w:p>
            <w:pPr>
              <w:spacing w:line="360" w:lineRule="auto"/>
              <w:ind w:firstLine="482" w:firstLineChars="200"/>
              <w:rPr>
                <w:rFonts w:hint="eastAsia"/>
                <w:b/>
                <w:bCs/>
                <w:snapToGrid w:val="0"/>
                <w:kern w:val="0"/>
                <w:sz w:val="24"/>
                <w:u w:val="single"/>
                <w:lang w:val="en-US" w:eastAsia="zh-CN"/>
              </w:rPr>
            </w:pPr>
            <w:r>
              <w:rPr>
                <w:rFonts w:hint="eastAsia"/>
                <w:b/>
                <w:bCs/>
                <w:snapToGrid w:val="0"/>
                <w:kern w:val="0"/>
                <w:sz w:val="24"/>
                <w:u w:val="single"/>
              </w:rPr>
              <w:t>本项目</w:t>
            </w:r>
            <w:r>
              <w:rPr>
                <w:rFonts w:hint="eastAsia"/>
                <w:b/>
                <w:bCs/>
                <w:snapToGrid w:val="0"/>
                <w:kern w:val="0"/>
                <w:sz w:val="24"/>
                <w:u w:val="single"/>
                <w:lang w:val="en-US" w:eastAsia="zh-CN"/>
              </w:rPr>
              <w:t>成品料仓、包装工序产生的废气经处理后，由同一根15米高的排气筒DA003排放。排气筒DA003排放污染物情况见表4-7。</w:t>
            </w:r>
          </w:p>
          <w:p>
            <w:pPr>
              <w:spacing w:line="360" w:lineRule="auto"/>
              <w:ind w:firstLine="482" w:firstLineChars="200"/>
              <w:rPr>
                <w:rFonts w:hint="eastAsia"/>
                <w:b/>
                <w:bCs/>
                <w:snapToGrid w:val="0"/>
                <w:kern w:val="0"/>
                <w:sz w:val="24"/>
                <w:u w:val="single"/>
                <w:lang w:val="en-US" w:eastAsia="zh-CN"/>
              </w:rPr>
            </w:pPr>
          </w:p>
          <w:p>
            <w:pPr>
              <w:pStyle w:val="44"/>
              <w:tabs>
                <w:tab w:val="left" w:pos="895"/>
                <w:tab w:val="clear" w:pos="1322"/>
              </w:tabs>
              <w:spacing w:line="360" w:lineRule="auto"/>
              <w:rPr>
                <w:rFonts w:eastAsia="宋体"/>
                <w:sz w:val="24"/>
                <w:szCs w:val="24"/>
                <w:u w:val="single"/>
              </w:rPr>
            </w:pPr>
            <w:r>
              <w:rPr>
                <w:rFonts w:hint="eastAsia" w:eastAsia="宋体"/>
                <w:sz w:val="24"/>
                <w:szCs w:val="24"/>
                <w:u w:val="single"/>
              </w:rPr>
              <w:t>表4-</w:t>
            </w:r>
            <w:r>
              <w:rPr>
                <w:rFonts w:hint="eastAsia" w:eastAsia="宋体"/>
                <w:sz w:val="24"/>
                <w:szCs w:val="24"/>
                <w:u w:val="single"/>
                <w:lang w:val="en-US" w:eastAsia="zh-CN"/>
              </w:rPr>
              <w:t>7</w:t>
            </w:r>
            <w:r>
              <w:rPr>
                <w:rFonts w:hint="eastAsia" w:eastAsia="宋体"/>
                <w:sz w:val="24"/>
                <w:szCs w:val="24"/>
                <w:u w:val="single"/>
              </w:rPr>
              <w:t xml:space="preserve">    本项目排气筒DA00</w:t>
            </w:r>
            <w:r>
              <w:rPr>
                <w:rFonts w:hint="eastAsia" w:eastAsia="宋体"/>
                <w:sz w:val="24"/>
                <w:szCs w:val="24"/>
                <w:u w:val="single"/>
                <w:lang w:val="en-US" w:eastAsia="zh-CN"/>
              </w:rPr>
              <w:t>3</w:t>
            </w:r>
            <w:r>
              <w:rPr>
                <w:rFonts w:hint="eastAsia" w:eastAsia="宋体"/>
                <w:sz w:val="24"/>
                <w:szCs w:val="24"/>
                <w:u w:val="single"/>
              </w:rPr>
              <w:t>排放污染物情况一览表</w:t>
            </w:r>
          </w:p>
          <w:tbl>
            <w:tblPr>
              <w:tblStyle w:val="27"/>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762"/>
              <w:gridCol w:w="663"/>
              <w:gridCol w:w="625"/>
              <w:gridCol w:w="837"/>
              <w:gridCol w:w="1363"/>
              <w:gridCol w:w="695"/>
              <w:gridCol w:w="755"/>
              <w:gridCol w:w="750"/>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Merge w:val="restart"/>
                  <w:vAlign w:val="center"/>
                </w:tcPr>
                <w:p>
                  <w:pPr>
                    <w:jc w:val="center"/>
                    <w:rPr>
                      <w:b/>
                      <w:bCs/>
                      <w:snapToGrid w:val="0"/>
                      <w:kern w:val="0"/>
                      <w:sz w:val="18"/>
                      <w:szCs w:val="18"/>
                    </w:rPr>
                  </w:pPr>
                  <w:r>
                    <w:rPr>
                      <w:rFonts w:hint="eastAsia"/>
                      <w:b/>
                      <w:bCs/>
                      <w:snapToGrid w:val="0"/>
                      <w:kern w:val="0"/>
                      <w:sz w:val="18"/>
                      <w:szCs w:val="18"/>
                    </w:rPr>
                    <w:t>污染源</w:t>
                  </w:r>
                </w:p>
              </w:tc>
              <w:tc>
                <w:tcPr>
                  <w:tcW w:w="762" w:type="dxa"/>
                  <w:vMerge w:val="restart"/>
                  <w:vAlign w:val="center"/>
                </w:tcPr>
                <w:p>
                  <w:pPr>
                    <w:jc w:val="center"/>
                    <w:rPr>
                      <w:b/>
                      <w:bCs/>
                      <w:snapToGrid w:val="0"/>
                      <w:kern w:val="0"/>
                      <w:sz w:val="18"/>
                      <w:szCs w:val="18"/>
                    </w:rPr>
                  </w:pPr>
                  <w:r>
                    <w:rPr>
                      <w:rFonts w:hint="eastAsia"/>
                      <w:b/>
                      <w:bCs/>
                      <w:snapToGrid w:val="0"/>
                      <w:kern w:val="0"/>
                      <w:sz w:val="18"/>
                      <w:szCs w:val="18"/>
                    </w:rPr>
                    <w:t>污染物</w:t>
                  </w:r>
                </w:p>
              </w:tc>
              <w:tc>
                <w:tcPr>
                  <w:tcW w:w="1288" w:type="dxa"/>
                  <w:gridSpan w:val="2"/>
                  <w:vAlign w:val="center"/>
                </w:tcPr>
                <w:p>
                  <w:pPr>
                    <w:jc w:val="center"/>
                    <w:rPr>
                      <w:b/>
                      <w:bCs/>
                      <w:snapToGrid w:val="0"/>
                      <w:kern w:val="0"/>
                      <w:sz w:val="18"/>
                      <w:szCs w:val="18"/>
                    </w:rPr>
                  </w:pPr>
                  <w:r>
                    <w:rPr>
                      <w:rFonts w:hint="eastAsia"/>
                      <w:b/>
                      <w:bCs/>
                      <w:snapToGrid w:val="0"/>
                      <w:kern w:val="0"/>
                      <w:sz w:val="18"/>
                      <w:szCs w:val="18"/>
                    </w:rPr>
                    <w:t>产生量</w:t>
                  </w:r>
                </w:p>
              </w:tc>
              <w:tc>
                <w:tcPr>
                  <w:tcW w:w="837" w:type="dxa"/>
                  <w:vMerge w:val="restart"/>
                  <w:vAlign w:val="center"/>
                </w:tcPr>
                <w:p>
                  <w:pPr>
                    <w:jc w:val="center"/>
                    <w:rPr>
                      <w:b/>
                      <w:bCs/>
                      <w:snapToGrid w:val="0"/>
                      <w:kern w:val="0"/>
                      <w:sz w:val="18"/>
                      <w:szCs w:val="18"/>
                    </w:rPr>
                  </w:pPr>
                  <w:r>
                    <w:rPr>
                      <w:rFonts w:hint="eastAsia"/>
                      <w:b/>
                      <w:bCs/>
                      <w:snapToGrid w:val="0"/>
                      <w:kern w:val="0"/>
                      <w:sz w:val="18"/>
                      <w:szCs w:val="18"/>
                    </w:rPr>
                    <w:t>产生浓度mg/m</w:t>
                  </w:r>
                  <w:r>
                    <w:rPr>
                      <w:rFonts w:hint="eastAsia"/>
                      <w:b/>
                      <w:bCs/>
                      <w:snapToGrid w:val="0"/>
                      <w:kern w:val="0"/>
                      <w:sz w:val="18"/>
                      <w:szCs w:val="18"/>
                      <w:vertAlign w:val="superscript"/>
                    </w:rPr>
                    <w:t>3</w:t>
                  </w:r>
                </w:p>
              </w:tc>
              <w:tc>
                <w:tcPr>
                  <w:tcW w:w="2058" w:type="dxa"/>
                  <w:gridSpan w:val="2"/>
                  <w:vMerge w:val="restart"/>
                  <w:vAlign w:val="center"/>
                </w:tcPr>
                <w:p>
                  <w:pPr>
                    <w:jc w:val="center"/>
                    <w:rPr>
                      <w:b/>
                      <w:bCs/>
                      <w:snapToGrid w:val="0"/>
                      <w:kern w:val="0"/>
                      <w:sz w:val="18"/>
                      <w:szCs w:val="18"/>
                    </w:rPr>
                  </w:pPr>
                  <w:r>
                    <w:rPr>
                      <w:rFonts w:hint="eastAsia"/>
                      <w:b/>
                      <w:bCs/>
                      <w:snapToGrid w:val="0"/>
                      <w:kern w:val="0"/>
                      <w:sz w:val="18"/>
                      <w:szCs w:val="18"/>
                    </w:rPr>
                    <w:t>处理措施</w:t>
                  </w:r>
                </w:p>
              </w:tc>
              <w:tc>
                <w:tcPr>
                  <w:tcW w:w="1505" w:type="dxa"/>
                  <w:gridSpan w:val="2"/>
                  <w:vAlign w:val="center"/>
                </w:tcPr>
                <w:p>
                  <w:pPr>
                    <w:jc w:val="center"/>
                    <w:rPr>
                      <w:b/>
                      <w:bCs/>
                      <w:snapToGrid w:val="0"/>
                      <w:kern w:val="0"/>
                      <w:sz w:val="18"/>
                      <w:szCs w:val="18"/>
                    </w:rPr>
                  </w:pPr>
                  <w:r>
                    <w:rPr>
                      <w:rFonts w:hint="eastAsia"/>
                      <w:b/>
                      <w:bCs/>
                      <w:snapToGrid w:val="0"/>
                      <w:kern w:val="0"/>
                      <w:sz w:val="18"/>
                      <w:szCs w:val="18"/>
                    </w:rPr>
                    <w:t>排放量</w:t>
                  </w:r>
                </w:p>
              </w:tc>
              <w:tc>
                <w:tcPr>
                  <w:tcW w:w="731" w:type="dxa"/>
                  <w:vMerge w:val="restart"/>
                  <w:vAlign w:val="center"/>
                </w:tcPr>
                <w:p>
                  <w:pPr>
                    <w:jc w:val="center"/>
                    <w:rPr>
                      <w:b/>
                      <w:bCs/>
                      <w:snapToGrid w:val="0"/>
                      <w:kern w:val="0"/>
                      <w:sz w:val="18"/>
                      <w:szCs w:val="18"/>
                    </w:rPr>
                  </w:pPr>
                  <w:r>
                    <w:rPr>
                      <w:rFonts w:hint="eastAsia"/>
                      <w:b/>
                      <w:bCs/>
                      <w:snapToGrid w:val="0"/>
                      <w:kern w:val="0"/>
                      <w:sz w:val="18"/>
                      <w:szCs w:val="18"/>
                    </w:rPr>
                    <w:t>排放</w:t>
                  </w:r>
                </w:p>
                <w:p>
                  <w:pPr>
                    <w:jc w:val="center"/>
                    <w:rPr>
                      <w:b/>
                      <w:bCs/>
                      <w:snapToGrid w:val="0"/>
                      <w:kern w:val="0"/>
                      <w:sz w:val="18"/>
                      <w:szCs w:val="18"/>
                    </w:rPr>
                  </w:pPr>
                  <w:r>
                    <w:rPr>
                      <w:rFonts w:hint="eastAsia"/>
                      <w:b/>
                      <w:bCs/>
                      <w:snapToGrid w:val="0"/>
                      <w:kern w:val="0"/>
                      <w:sz w:val="18"/>
                      <w:szCs w:val="18"/>
                    </w:rPr>
                    <w:t>浓度mg/m</w:t>
                  </w:r>
                  <w:r>
                    <w:rPr>
                      <w:rFonts w:hint="eastAsia"/>
                      <w:b/>
                      <w:bCs/>
                      <w:snapToGrid w:val="0"/>
                      <w:kern w:val="0"/>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Merge w:val="continue"/>
                  <w:vAlign w:val="center"/>
                </w:tcPr>
                <w:p>
                  <w:pPr>
                    <w:jc w:val="center"/>
                    <w:rPr>
                      <w:b/>
                      <w:bCs/>
                      <w:snapToGrid w:val="0"/>
                      <w:kern w:val="0"/>
                      <w:sz w:val="18"/>
                      <w:szCs w:val="18"/>
                    </w:rPr>
                  </w:pPr>
                </w:p>
              </w:tc>
              <w:tc>
                <w:tcPr>
                  <w:tcW w:w="762" w:type="dxa"/>
                  <w:vMerge w:val="continue"/>
                  <w:vAlign w:val="center"/>
                </w:tcPr>
                <w:p>
                  <w:pPr>
                    <w:jc w:val="center"/>
                    <w:rPr>
                      <w:b/>
                      <w:bCs/>
                      <w:snapToGrid w:val="0"/>
                      <w:kern w:val="0"/>
                      <w:sz w:val="18"/>
                      <w:szCs w:val="18"/>
                    </w:rPr>
                  </w:pPr>
                </w:p>
              </w:tc>
              <w:tc>
                <w:tcPr>
                  <w:tcW w:w="663" w:type="dxa"/>
                  <w:vAlign w:val="center"/>
                </w:tcPr>
                <w:p>
                  <w:pPr>
                    <w:jc w:val="center"/>
                    <w:rPr>
                      <w:b/>
                      <w:bCs/>
                      <w:snapToGrid w:val="0"/>
                      <w:kern w:val="0"/>
                      <w:sz w:val="18"/>
                      <w:szCs w:val="18"/>
                    </w:rPr>
                  </w:pPr>
                  <w:r>
                    <w:rPr>
                      <w:rFonts w:hint="eastAsia"/>
                      <w:b/>
                      <w:bCs/>
                      <w:snapToGrid w:val="0"/>
                      <w:kern w:val="0"/>
                      <w:sz w:val="18"/>
                      <w:szCs w:val="18"/>
                    </w:rPr>
                    <w:t>t/a</w:t>
                  </w:r>
                </w:p>
              </w:tc>
              <w:tc>
                <w:tcPr>
                  <w:tcW w:w="625" w:type="dxa"/>
                  <w:vAlign w:val="center"/>
                </w:tcPr>
                <w:p>
                  <w:pPr>
                    <w:jc w:val="center"/>
                    <w:rPr>
                      <w:b/>
                      <w:bCs/>
                      <w:snapToGrid w:val="0"/>
                      <w:kern w:val="0"/>
                      <w:sz w:val="18"/>
                      <w:szCs w:val="18"/>
                    </w:rPr>
                  </w:pPr>
                  <w:r>
                    <w:rPr>
                      <w:rFonts w:hint="eastAsia"/>
                      <w:b/>
                      <w:bCs/>
                      <w:snapToGrid w:val="0"/>
                      <w:kern w:val="0"/>
                      <w:sz w:val="18"/>
                      <w:szCs w:val="18"/>
                    </w:rPr>
                    <w:t>kg/h</w:t>
                  </w:r>
                </w:p>
              </w:tc>
              <w:tc>
                <w:tcPr>
                  <w:tcW w:w="837" w:type="dxa"/>
                  <w:vMerge w:val="continue"/>
                  <w:vAlign w:val="center"/>
                </w:tcPr>
                <w:p>
                  <w:pPr>
                    <w:jc w:val="center"/>
                    <w:rPr>
                      <w:b/>
                      <w:bCs/>
                      <w:snapToGrid w:val="0"/>
                      <w:kern w:val="0"/>
                      <w:sz w:val="18"/>
                      <w:szCs w:val="18"/>
                    </w:rPr>
                  </w:pPr>
                </w:p>
              </w:tc>
              <w:tc>
                <w:tcPr>
                  <w:tcW w:w="2058" w:type="dxa"/>
                  <w:gridSpan w:val="2"/>
                  <w:vMerge w:val="continue"/>
                  <w:vAlign w:val="center"/>
                </w:tcPr>
                <w:p>
                  <w:pPr>
                    <w:jc w:val="center"/>
                    <w:rPr>
                      <w:b/>
                      <w:bCs/>
                      <w:snapToGrid w:val="0"/>
                      <w:kern w:val="0"/>
                      <w:sz w:val="18"/>
                      <w:szCs w:val="18"/>
                    </w:rPr>
                  </w:pPr>
                </w:p>
              </w:tc>
              <w:tc>
                <w:tcPr>
                  <w:tcW w:w="755" w:type="dxa"/>
                  <w:vAlign w:val="center"/>
                </w:tcPr>
                <w:p>
                  <w:pPr>
                    <w:jc w:val="center"/>
                    <w:rPr>
                      <w:b/>
                      <w:bCs/>
                      <w:snapToGrid w:val="0"/>
                      <w:kern w:val="0"/>
                      <w:sz w:val="18"/>
                      <w:szCs w:val="18"/>
                    </w:rPr>
                  </w:pPr>
                  <w:r>
                    <w:rPr>
                      <w:rFonts w:hint="eastAsia"/>
                      <w:b/>
                      <w:bCs/>
                      <w:snapToGrid w:val="0"/>
                      <w:kern w:val="0"/>
                      <w:sz w:val="18"/>
                      <w:szCs w:val="18"/>
                    </w:rPr>
                    <w:t>t/a</w:t>
                  </w:r>
                </w:p>
              </w:tc>
              <w:tc>
                <w:tcPr>
                  <w:tcW w:w="750" w:type="dxa"/>
                  <w:vAlign w:val="center"/>
                </w:tcPr>
                <w:p>
                  <w:pPr>
                    <w:jc w:val="center"/>
                    <w:rPr>
                      <w:b/>
                      <w:bCs/>
                      <w:snapToGrid w:val="0"/>
                      <w:kern w:val="0"/>
                      <w:sz w:val="18"/>
                      <w:szCs w:val="18"/>
                    </w:rPr>
                  </w:pPr>
                  <w:r>
                    <w:rPr>
                      <w:rFonts w:hint="eastAsia"/>
                      <w:b/>
                      <w:bCs/>
                      <w:snapToGrid w:val="0"/>
                      <w:kern w:val="0"/>
                      <w:sz w:val="18"/>
                      <w:szCs w:val="18"/>
                    </w:rPr>
                    <w:t>kg/h</w:t>
                  </w:r>
                </w:p>
              </w:tc>
              <w:tc>
                <w:tcPr>
                  <w:tcW w:w="731" w:type="dxa"/>
                  <w:vMerge w:val="continue"/>
                  <w:vAlign w:val="center"/>
                </w:tcPr>
                <w:p>
                  <w:pPr>
                    <w:jc w:val="center"/>
                    <w:rPr>
                      <w:b/>
                      <w:bCs/>
                      <w:snapToGrid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成品</w:t>
                  </w:r>
                </w:p>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料仓</w:t>
                  </w:r>
                </w:p>
              </w:tc>
              <w:tc>
                <w:tcPr>
                  <w:tcW w:w="7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颗粒物</w:t>
                  </w:r>
                </w:p>
              </w:tc>
              <w:tc>
                <w:tcPr>
                  <w:tcW w:w="6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10.4</w:t>
                  </w:r>
                </w:p>
              </w:tc>
              <w:tc>
                <w:tcPr>
                  <w:tcW w:w="62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5.2</w:t>
                  </w:r>
                </w:p>
              </w:tc>
              <w:tc>
                <w:tcPr>
                  <w:tcW w:w="837"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6500</w:t>
                  </w:r>
                </w:p>
              </w:tc>
              <w:tc>
                <w:tcPr>
                  <w:tcW w:w="1363"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每个料仓上方均设置一套袋式除尘器，共3套（5#、6#、7#）</w:t>
                  </w:r>
                </w:p>
              </w:tc>
              <w:tc>
                <w:tcPr>
                  <w:tcW w:w="695" w:type="dxa"/>
                  <w:vMerge w:val="restart"/>
                  <w:vAlign w:val="center"/>
                </w:tcPr>
                <w:p>
                  <w:pPr>
                    <w:jc w:val="center"/>
                    <w:rPr>
                      <w:snapToGrid w:val="0"/>
                      <w:kern w:val="0"/>
                      <w:sz w:val="18"/>
                      <w:szCs w:val="18"/>
                    </w:rPr>
                  </w:pPr>
                  <w:r>
                    <w:rPr>
                      <w:rFonts w:hint="eastAsia"/>
                      <w:snapToGrid w:val="0"/>
                      <w:kern w:val="0"/>
                      <w:sz w:val="18"/>
                      <w:szCs w:val="18"/>
                      <w:lang w:val="en-US" w:eastAsia="zh-CN"/>
                    </w:rPr>
                    <w:t>一根</w:t>
                  </w:r>
                  <w:r>
                    <w:rPr>
                      <w:rFonts w:hint="eastAsia"/>
                      <w:snapToGrid w:val="0"/>
                      <w:kern w:val="0"/>
                      <w:sz w:val="18"/>
                      <w:szCs w:val="18"/>
                    </w:rPr>
                    <w:t>15m高排气筒DA00</w:t>
                  </w:r>
                  <w:r>
                    <w:rPr>
                      <w:rFonts w:hint="eastAsia"/>
                      <w:snapToGrid w:val="0"/>
                      <w:kern w:val="0"/>
                      <w:sz w:val="18"/>
                      <w:szCs w:val="18"/>
                      <w:lang w:val="en-US" w:eastAsia="zh-CN"/>
                    </w:rPr>
                    <w:t>3</w:t>
                  </w:r>
                  <w:r>
                    <w:rPr>
                      <w:rFonts w:hint="eastAsia"/>
                      <w:snapToGrid w:val="0"/>
                      <w:kern w:val="0"/>
                      <w:sz w:val="18"/>
                      <w:szCs w:val="18"/>
                    </w:rPr>
                    <w:t>排放</w:t>
                  </w:r>
                </w:p>
              </w:tc>
              <w:tc>
                <w:tcPr>
                  <w:tcW w:w="75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0.0104</w:t>
                  </w:r>
                </w:p>
              </w:tc>
              <w:tc>
                <w:tcPr>
                  <w:tcW w:w="750"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0.0052</w:t>
                  </w:r>
                </w:p>
              </w:tc>
              <w:tc>
                <w:tcPr>
                  <w:tcW w:w="731"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包装</w:t>
                  </w:r>
                </w:p>
                <w:p>
                  <w:pPr>
                    <w:jc w:val="center"/>
                    <w:rPr>
                      <w:rFonts w:hint="eastAsia"/>
                      <w:snapToGrid w:val="0"/>
                      <w:kern w:val="0"/>
                      <w:sz w:val="18"/>
                      <w:szCs w:val="18"/>
                      <w:lang w:val="en-US" w:eastAsia="zh-CN"/>
                    </w:rPr>
                  </w:pPr>
                  <w:r>
                    <w:rPr>
                      <w:rFonts w:hint="eastAsia"/>
                      <w:snapToGrid w:val="0"/>
                      <w:kern w:val="0"/>
                      <w:sz w:val="18"/>
                      <w:szCs w:val="18"/>
                      <w:lang w:val="en-US" w:eastAsia="zh-CN"/>
                    </w:rPr>
                    <w:t>工序</w:t>
                  </w:r>
                </w:p>
              </w:tc>
              <w:tc>
                <w:tcPr>
                  <w:tcW w:w="762"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颗粒物</w:t>
                  </w:r>
                </w:p>
              </w:tc>
              <w:tc>
                <w:tcPr>
                  <w:tcW w:w="663"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8</w:t>
                  </w:r>
                </w:p>
              </w:tc>
              <w:tc>
                <w:tcPr>
                  <w:tcW w:w="625"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4</w:t>
                  </w:r>
                </w:p>
              </w:tc>
              <w:tc>
                <w:tcPr>
                  <w:tcW w:w="837"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4444.44</w:t>
                  </w:r>
                </w:p>
              </w:tc>
              <w:tc>
                <w:tcPr>
                  <w:tcW w:w="1363"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每台包装机上方均设置一套袋式除尘器，共3套（8#、9#、10#）</w:t>
                  </w:r>
                </w:p>
              </w:tc>
              <w:tc>
                <w:tcPr>
                  <w:tcW w:w="695" w:type="dxa"/>
                  <w:vMerge w:val="continue"/>
                  <w:vAlign w:val="center"/>
                </w:tcPr>
                <w:p>
                  <w:pPr>
                    <w:jc w:val="center"/>
                    <w:rPr>
                      <w:snapToGrid w:val="0"/>
                      <w:kern w:val="0"/>
                      <w:sz w:val="18"/>
                      <w:szCs w:val="18"/>
                    </w:rPr>
                  </w:pPr>
                </w:p>
              </w:tc>
              <w:tc>
                <w:tcPr>
                  <w:tcW w:w="755"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0.008</w:t>
                  </w:r>
                </w:p>
              </w:tc>
              <w:tc>
                <w:tcPr>
                  <w:tcW w:w="750"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0.004</w:t>
                  </w:r>
                </w:p>
              </w:tc>
              <w:tc>
                <w:tcPr>
                  <w:tcW w:w="731" w:type="dxa"/>
                  <w:vAlign w:val="center"/>
                </w:tcPr>
                <w:p>
                  <w:pPr>
                    <w:jc w:val="center"/>
                    <w:rPr>
                      <w:rFonts w:hint="eastAsia"/>
                      <w:snapToGrid w:val="0"/>
                      <w:kern w:val="0"/>
                      <w:sz w:val="18"/>
                      <w:szCs w:val="18"/>
                      <w:lang w:val="en-US" w:eastAsia="zh-CN"/>
                    </w:rPr>
                  </w:pPr>
                  <w:r>
                    <w:rPr>
                      <w:rFonts w:hint="eastAsia"/>
                      <w:snapToGrid w:val="0"/>
                      <w:kern w:val="0"/>
                      <w:sz w:val="18"/>
                      <w:szCs w:val="18"/>
                      <w:lang w:val="en-US" w:eastAsia="zh-CN"/>
                    </w:rPr>
                    <w:t>4.44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rPr>
                    <w:t>DA00</w:t>
                  </w:r>
                  <w:r>
                    <w:rPr>
                      <w:rFonts w:hint="eastAsia"/>
                      <w:snapToGrid w:val="0"/>
                      <w:kern w:val="0"/>
                      <w:sz w:val="18"/>
                      <w:szCs w:val="18"/>
                      <w:lang w:val="en-US" w:eastAsia="zh-CN"/>
                    </w:rPr>
                    <w:t>3</w:t>
                  </w:r>
                </w:p>
              </w:tc>
              <w:tc>
                <w:tcPr>
                  <w:tcW w:w="762"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颗粒物</w:t>
                  </w:r>
                </w:p>
              </w:tc>
              <w:tc>
                <w:tcPr>
                  <w:tcW w:w="663" w:type="dxa"/>
                  <w:vAlign w:val="center"/>
                </w:tcPr>
                <w:p>
                  <w:pPr>
                    <w:jc w:val="center"/>
                    <w:rPr>
                      <w:snapToGrid w:val="0"/>
                      <w:kern w:val="0"/>
                      <w:sz w:val="18"/>
                      <w:szCs w:val="18"/>
                    </w:rPr>
                  </w:pPr>
                  <w:r>
                    <w:rPr>
                      <w:rFonts w:hint="eastAsia"/>
                      <w:snapToGrid w:val="0"/>
                      <w:kern w:val="0"/>
                      <w:sz w:val="18"/>
                      <w:szCs w:val="18"/>
                    </w:rPr>
                    <w:t>/</w:t>
                  </w:r>
                </w:p>
              </w:tc>
              <w:tc>
                <w:tcPr>
                  <w:tcW w:w="625" w:type="dxa"/>
                  <w:vAlign w:val="center"/>
                </w:tcPr>
                <w:p>
                  <w:pPr>
                    <w:jc w:val="center"/>
                    <w:rPr>
                      <w:snapToGrid w:val="0"/>
                      <w:kern w:val="0"/>
                      <w:sz w:val="18"/>
                      <w:szCs w:val="18"/>
                    </w:rPr>
                  </w:pPr>
                  <w:r>
                    <w:rPr>
                      <w:rFonts w:hint="eastAsia"/>
                      <w:snapToGrid w:val="0"/>
                      <w:kern w:val="0"/>
                      <w:sz w:val="18"/>
                      <w:szCs w:val="18"/>
                    </w:rPr>
                    <w:t>/</w:t>
                  </w:r>
                </w:p>
              </w:tc>
              <w:tc>
                <w:tcPr>
                  <w:tcW w:w="837" w:type="dxa"/>
                  <w:vAlign w:val="center"/>
                </w:tcPr>
                <w:p>
                  <w:pPr>
                    <w:jc w:val="center"/>
                    <w:rPr>
                      <w:snapToGrid w:val="0"/>
                      <w:kern w:val="0"/>
                      <w:sz w:val="18"/>
                      <w:szCs w:val="18"/>
                    </w:rPr>
                  </w:pPr>
                  <w:r>
                    <w:rPr>
                      <w:rFonts w:hint="eastAsia"/>
                      <w:snapToGrid w:val="0"/>
                      <w:kern w:val="0"/>
                      <w:sz w:val="18"/>
                      <w:szCs w:val="18"/>
                    </w:rPr>
                    <w:t>/</w:t>
                  </w:r>
                </w:p>
              </w:tc>
              <w:tc>
                <w:tcPr>
                  <w:tcW w:w="1363" w:type="dxa"/>
                  <w:vAlign w:val="center"/>
                </w:tcPr>
                <w:p>
                  <w:pPr>
                    <w:jc w:val="center"/>
                    <w:rPr>
                      <w:snapToGrid w:val="0"/>
                      <w:kern w:val="0"/>
                      <w:sz w:val="18"/>
                      <w:szCs w:val="18"/>
                    </w:rPr>
                  </w:pPr>
                  <w:r>
                    <w:rPr>
                      <w:rFonts w:hint="eastAsia"/>
                      <w:snapToGrid w:val="0"/>
                      <w:kern w:val="0"/>
                      <w:sz w:val="18"/>
                      <w:szCs w:val="18"/>
                    </w:rPr>
                    <w:t>/</w:t>
                  </w:r>
                </w:p>
              </w:tc>
              <w:tc>
                <w:tcPr>
                  <w:tcW w:w="695" w:type="dxa"/>
                  <w:vAlign w:val="center"/>
                </w:tcPr>
                <w:p>
                  <w:pPr>
                    <w:jc w:val="center"/>
                    <w:rPr>
                      <w:snapToGrid w:val="0"/>
                      <w:kern w:val="0"/>
                      <w:sz w:val="18"/>
                      <w:szCs w:val="18"/>
                    </w:rPr>
                  </w:pPr>
                  <w:r>
                    <w:rPr>
                      <w:rFonts w:hint="eastAsia"/>
                      <w:snapToGrid w:val="0"/>
                      <w:kern w:val="0"/>
                      <w:sz w:val="18"/>
                      <w:szCs w:val="18"/>
                    </w:rPr>
                    <w:t>/</w:t>
                  </w:r>
                </w:p>
              </w:tc>
              <w:tc>
                <w:tcPr>
                  <w:tcW w:w="755"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0.018</w:t>
                  </w:r>
                </w:p>
              </w:tc>
              <w:tc>
                <w:tcPr>
                  <w:tcW w:w="750"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0.009</w:t>
                  </w:r>
                </w:p>
              </w:tc>
              <w:tc>
                <w:tcPr>
                  <w:tcW w:w="731" w:type="dxa"/>
                  <w:vAlign w:val="center"/>
                </w:tcPr>
                <w:p>
                  <w:pPr>
                    <w:jc w:val="center"/>
                    <w:rPr>
                      <w:rFonts w:hint="eastAsia" w:eastAsia="宋体"/>
                      <w:snapToGrid w:val="0"/>
                      <w:kern w:val="0"/>
                      <w:sz w:val="18"/>
                      <w:szCs w:val="18"/>
                      <w:lang w:val="en-US" w:eastAsia="zh-CN"/>
                    </w:rPr>
                  </w:pPr>
                  <w:r>
                    <w:rPr>
                      <w:rFonts w:hint="eastAsia"/>
                      <w:snapToGrid w:val="0"/>
                      <w:kern w:val="0"/>
                      <w:sz w:val="18"/>
                      <w:szCs w:val="18"/>
                      <w:lang w:val="en-US" w:eastAsia="zh-CN"/>
                    </w:rPr>
                    <w:t>5.41</w:t>
                  </w:r>
                </w:p>
              </w:tc>
            </w:tr>
          </w:tbl>
          <w:p>
            <w:pPr>
              <w:spacing w:line="360" w:lineRule="auto"/>
              <w:ind w:firstLine="482" w:firstLineChars="200"/>
              <w:rPr>
                <w:rFonts w:hint="eastAsia"/>
                <w:b/>
                <w:bCs/>
                <w:snapToGrid w:val="0"/>
                <w:kern w:val="0"/>
                <w:sz w:val="24"/>
                <w:u w:val="single"/>
              </w:rPr>
            </w:pPr>
            <w:r>
              <w:rPr>
                <w:rFonts w:hint="eastAsia"/>
                <w:b/>
                <w:bCs/>
                <w:snapToGrid w:val="0"/>
                <w:kern w:val="0"/>
                <w:sz w:val="24"/>
                <w:u w:val="single"/>
              </w:rPr>
              <w:t>由表4-</w:t>
            </w:r>
            <w:r>
              <w:rPr>
                <w:rFonts w:hint="eastAsia"/>
                <w:b/>
                <w:bCs/>
                <w:snapToGrid w:val="0"/>
                <w:kern w:val="0"/>
                <w:sz w:val="24"/>
                <w:u w:val="single"/>
                <w:lang w:val="en-US" w:eastAsia="zh-CN"/>
              </w:rPr>
              <w:t>7</w:t>
            </w:r>
            <w:r>
              <w:rPr>
                <w:rFonts w:hint="eastAsia"/>
                <w:b/>
                <w:bCs/>
                <w:snapToGrid w:val="0"/>
                <w:kern w:val="0"/>
                <w:sz w:val="24"/>
                <w:u w:val="single"/>
              </w:rPr>
              <w:t>可知，本项目</w:t>
            </w:r>
            <w:r>
              <w:rPr>
                <w:rFonts w:hint="eastAsia"/>
                <w:b/>
                <w:bCs/>
                <w:snapToGrid w:val="0"/>
                <w:kern w:val="0"/>
                <w:sz w:val="24"/>
                <w:u w:val="single"/>
                <w:lang w:val="en-US" w:eastAsia="zh-CN"/>
              </w:rPr>
              <w:t>成品料仓废气、包装废气</w:t>
            </w:r>
            <w:r>
              <w:rPr>
                <w:rFonts w:hint="eastAsia"/>
                <w:b/>
                <w:bCs/>
                <w:snapToGrid w:val="0"/>
                <w:kern w:val="0"/>
                <w:sz w:val="24"/>
                <w:u w:val="single"/>
              </w:rPr>
              <w:t>，</w:t>
            </w:r>
            <w:r>
              <w:rPr>
                <w:rFonts w:hint="eastAsia"/>
                <w:b/>
                <w:bCs/>
                <w:snapToGrid w:val="0"/>
                <w:kern w:val="0"/>
                <w:sz w:val="24"/>
                <w:u w:val="single"/>
                <w:lang w:val="en-US" w:eastAsia="zh-CN"/>
              </w:rPr>
              <w:t>经</w:t>
            </w:r>
            <w:r>
              <w:rPr>
                <w:rFonts w:hint="eastAsia"/>
                <w:b/>
                <w:bCs/>
                <w:snapToGrid w:val="0"/>
                <w:kern w:val="0"/>
                <w:sz w:val="24"/>
                <w:u w:val="single"/>
              </w:rPr>
              <w:t>处理</w:t>
            </w:r>
            <w:r>
              <w:rPr>
                <w:rFonts w:hint="eastAsia"/>
                <w:b/>
                <w:bCs/>
                <w:snapToGrid w:val="0"/>
                <w:kern w:val="0"/>
                <w:sz w:val="24"/>
                <w:u w:val="single"/>
                <w:lang w:val="en-US" w:eastAsia="zh-CN"/>
              </w:rPr>
              <w:t>后</w:t>
            </w:r>
            <w:r>
              <w:rPr>
                <w:rFonts w:hint="eastAsia"/>
                <w:b/>
                <w:bCs/>
                <w:snapToGrid w:val="0"/>
                <w:kern w:val="0"/>
                <w:sz w:val="24"/>
                <w:u w:val="single"/>
              </w:rPr>
              <w:t>由</w:t>
            </w:r>
            <w:r>
              <w:rPr>
                <w:rFonts w:hint="eastAsia"/>
                <w:b/>
                <w:bCs/>
                <w:snapToGrid w:val="0"/>
                <w:kern w:val="0"/>
                <w:sz w:val="24"/>
                <w:u w:val="single"/>
                <w:lang w:val="en-US" w:eastAsia="zh-CN"/>
              </w:rPr>
              <w:t>同</w:t>
            </w:r>
            <w:r>
              <w:rPr>
                <w:rFonts w:hint="eastAsia"/>
                <w:b/>
                <w:bCs/>
                <w:snapToGrid w:val="0"/>
                <w:kern w:val="0"/>
                <w:sz w:val="24"/>
                <w:u w:val="single"/>
              </w:rPr>
              <w:t>一根15m高的排气筒（DA00</w:t>
            </w:r>
            <w:r>
              <w:rPr>
                <w:rFonts w:hint="eastAsia"/>
                <w:b/>
                <w:bCs/>
                <w:snapToGrid w:val="0"/>
                <w:kern w:val="0"/>
                <w:sz w:val="24"/>
                <w:u w:val="single"/>
                <w:lang w:val="en-US" w:eastAsia="zh-CN"/>
              </w:rPr>
              <w:t>3</w:t>
            </w:r>
            <w:r>
              <w:rPr>
                <w:rFonts w:hint="eastAsia"/>
                <w:b/>
                <w:bCs/>
                <w:snapToGrid w:val="0"/>
                <w:kern w:val="0"/>
                <w:sz w:val="24"/>
                <w:u w:val="single"/>
              </w:rPr>
              <w:t>）排放，颗粒物排放浓度可满足《大气污染物综合排放标准》（GB16297-1996）表2排放限值（120mg/m</w:t>
            </w:r>
            <w:r>
              <w:rPr>
                <w:rFonts w:hint="eastAsia"/>
                <w:b/>
                <w:bCs/>
                <w:snapToGrid w:val="0"/>
                <w:kern w:val="0"/>
                <w:sz w:val="24"/>
                <w:u w:val="single"/>
                <w:vertAlign w:val="superscript"/>
              </w:rPr>
              <w:t>3</w:t>
            </w:r>
            <w:r>
              <w:rPr>
                <w:rFonts w:hint="eastAsia"/>
                <w:b/>
                <w:bCs/>
                <w:snapToGrid w:val="0"/>
                <w:kern w:val="0"/>
                <w:sz w:val="24"/>
                <w:u w:val="single"/>
              </w:rPr>
              <w:t>，3.5kg/h）要求。</w:t>
            </w:r>
          </w:p>
          <w:p>
            <w:pPr>
              <w:spacing w:line="360" w:lineRule="auto"/>
              <w:ind w:firstLine="482" w:firstLineChars="200"/>
              <w:rPr>
                <w:b/>
                <w:bCs/>
                <w:snapToGrid w:val="0"/>
                <w:kern w:val="0"/>
                <w:sz w:val="24"/>
              </w:rPr>
            </w:pPr>
            <w:r>
              <w:rPr>
                <w:rFonts w:hint="eastAsia"/>
                <w:b/>
                <w:bCs/>
                <w:snapToGrid w:val="0"/>
                <w:kern w:val="0"/>
                <w:sz w:val="24"/>
              </w:rPr>
              <w:t>1.1.2无组织废气</w:t>
            </w:r>
          </w:p>
          <w:p>
            <w:pPr>
              <w:spacing w:line="360" w:lineRule="auto"/>
              <w:ind w:firstLine="480" w:firstLineChars="200"/>
              <w:rPr>
                <w:snapToGrid w:val="0"/>
                <w:kern w:val="0"/>
                <w:sz w:val="24"/>
              </w:rPr>
            </w:pPr>
            <w:r>
              <w:rPr>
                <w:rFonts w:hint="eastAsia"/>
                <w:snapToGrid w:val="0"/>
                <w:kern w:val="0"/>
                <w:sz w:val="24"/>
              </w:rPr>
              <w:t>（1）原料装卸粉尘</w:t>
            </w:r>
          </w:p>
          <w:p>
            <w:pPr>
              <w:spacing w:line="360" w:lineRule="auto"/>
              <w:ind w:firstLine="480" w:firstLineChars="200"/>
              <w:rPr>
                <w:snapToGrid w:val="0"/>
                <w:kern w:val="0"/>
                <w:sz w:val="24"/>
              </w:rPr>
            </w:pPr>
            <w:r>
              <w:rPr>
                <w:rFonts w:hint="eastAsia"/>
                <w:snapToGrid w:val="0"/>
                <w:kern w:val="0"/>
                <w:sz w:val="24"/>
              </w:rPr>
              <w:t>本项目原料钾长石、钠长石、霞石、碳酸锶、碳酸钡等原料通过自卸汽车在原料库内卸载。自卸汽车卸料起尘量选用山西环保科研所，武汉水运工程学院提出的经验公式估算，经验公式为：</w:t>
            </w:r>
          </w:p>
          <w:p>
            <w:pPr>
              <w:spacing w:line="360" w:lineRule="auto"/>
              <w:ind w:firstLine="480" w:firstLineChars="200"/>
              <w:jc w:val="center"/>
              <w:rPr>
                <w:snapToGrid w:val="0"/>
                <w:kern w:val="0"/>
                <w:sz w:val="24"/>
              </w:rPr>
            </w:pPr>
            <w:r>
              <w:rPr>
                <w:rFonts w:hint="eastAsia"/>
                <w:snapToGrid w:val="0"/>
                <w:kern w:val="0"/>
                <w:sz w:val="24"/>
              </w:rPr>
              <w:t>Q=e</w:t>
            </w:r>
            <w:r>
              <w:rPr>
                <w:rFonts w:hint="eastAsia"/>
                <w:snapToGrid w:val="0"/>
                <w:kern w:val="0"/>
                <w:sz w:val="24"/>
                <w:vertAlign w:val="superscript"/>
              </w:rPr>
              <w:t>0.61u</w:t>
            </w:r>
            <w:r>
              <w:rPr>
                <w:rFonts w:hint="eastAsia"/>
                <w:snapToGrid w:val="0"/>
                <w:kern w:val="0"/>
                <w:sz w:val="24"/>
              </w:rPr>
              <w:t>×M/13.5</w:t>
            </w:r>
          </w:p>
          <w:p>
            <w:pPr>
              <w:spacing w:line="360" w:lineRule="auto"/>
              <w:ind w:firstLine="480" w:firstLineChars="200"/>
              <w:rPr>
                <w:snapToGrid w:val="0"/>
                <w:kern w:val="0"/>
                <w:sz w:val="24"/>
              </w:rPr>
            </w:pPr>
            <w:r>
              <w:rPr>
                <w:rFonts w:hint="eastAsia"/>
                <w:snapToGrid w:val="0"/>
                <w:kern w:val="0"/>
                <w:sz w:val="24"/>
              </w:rPr>
              <w:t>式中：Q—自卸汽车卸料起尘量，g/次；</w:t>
            </w:r>
          </w:p>
          <w:p>
            <w:pPr>
              <w:spacing w:line="360" w:lineRule="auto"/>
              <w:ind w:firstLine="1200" w:firstLineChars="500"/>
              <w:rPr>
                <w:snapToGrid w:val="0"/>
                <w:kern w:val="0"/>
                <w:sz w:val="24"/>
              </w:rPr>
            </w:pPr>
            <w:r>
              <w:rPr>
                <w:rFonts w:hint="eastAsia"/>
                <w:snapToGrid w:val="0"/>
                <w:kern w:val="0"/>
                <w:sz w:val="24"/>
              </w:rPr>
              <w:t>U—平均风速，取2m/s；</w:t>
            </w:r>
          </w:p>
          <w:p>
            <w:pPr>
              <w:spacing w:line="360" w:lineRule="auto"/>
              <w:ind w:firstLine="1200" w:firstLineChars="500"/>
              <w:rPr>
                <w:snapToGrid w:val="0"/>
                <w:kern w:val="0"/>
                <w:sz w:val="24"/>
              </w:rPr>
            </w:pPr>
            <w:r>
              <w:rPr>
                <w:rFonts w:hint="eastAsia"/>
                <w:snapToGrid w:val="0"/>
                <w:kern w:val="0"/>
                <w:sz w:val="24"/>
              </w:rPr>
              <w:t>M—汽车卸载量，取35t。</w:t>
            </w:r>
          </w:p>
          <w:p>
            <w:pPr>
              <w:spacing w:line="360" w:lineRule="auto"/>
              <w:ind w:firstLine="480" w:firstLineChars="200"/>
              <w:rPr>
                <w:snapToGrid w:val="0"/>
                <w:kern w:val="0"/>
                <w:sz w:val="24"/>
              </w:rPr>
            </w:pPr>
            <w:r>
              <w:rPr>
                <w:rFonts w:hint="eastAsia"/>
                <w:snapToGrid w:val="0"/>
                <w:kern w:val="0"/>
                <w:sz w:val="24"/>
              </w:rPr>
              <w:t>根据上述公式计算，项目原料卸载粉尘排放情况见表4-</w:t>
            </w:r>
            <w:r>
              <w:rPr>
                <w:rFonts w:hint="eastAsia"/>
                <w:snapToGrid w:val="0"/>
                <w:kern w:val="0"/>
                <w:sz w:val="24"/>
                <w:lang w:val="en-US" w:eastAsia="zh-CN"/>
              </w:rPr>
              <w:t>8</w:t>
            </w:r>
            <w:r>
              <w:rPr>
                <w:rFonts w:hint="eastAsia"/>
                <w:snapToGrid w:val="0"/>
                <w:kern w:val="0"/>
                <w:sz w:val="24"/>
              </w:rPr>
              <w:t>。原料量共计</w:t>
            </w:r>
            <w:r>
              <w:rPr>
                <w:rFonts w:hint="eastAsia"/>
                <w:snapToGrid w:val="0"/>
                <w:kern w:val="0"/>
                <w:sz w:val="24"/>
                <w:lang w:val="en-US" w:eastAsia="zh-CN"/>
              </w:rPr>
              <w:t>94288.04</w:t>
            </w:r>
            <w:r>
              <w:rPr>
                <w:rFonts w:hint="eastAsia"/>
                <w:snapToGrid w:val="0"/>
                <w:kern w:val="0"/>
                <w:sz w:val="24"/>
              </w:rPr>
              <w:t>t。</w:t>
            </w:r>
          </w:p>
          <w:p>
            <w:pPr>
              <w:pStyle w:val="44"/>
              <w:spacing w:line="360" w:lineRule="auto"/>
              <w:rPr>
                <w:rFonts w:eastAsia="宋体"/>
                <w:sz w:val="24"/>
                <w:szCs w:val="24"/>
              </w:rPr>
            </w:pPr>
            <w:r>
              <w:rPr>
                <w:rFonts w:hint="eastAsia" w:eastAsia="宋体"/>
                <w:sz w:val="24"/>
                <w:szCs w:val="24"/>
              </w:rPr>
              <w:t>表4-</w:t>
            </w:r>
            <w:r>
              <w:rPr>
                <w:rFonts w:hint="eastAsia" w:eastAsia="宋体"/>
                <w:sz w:val="24"/>
                <w:szCs w:val="24"/>
                <w:lang w:val="en-US" w:eastAsia="zh-CN"/>
              </w:rPr>
              <w:t>8</w:t>
            </w:r>
            <w:r>
              <w:rPr>
                <w:rFonts w:hint="eastAsia" w:eastAsia="宋体"/>
                <w:sz w:val="24"/>
                <w:szCs w:val="24"/>
              </w:rPr>
              <w:t xml:space="preserve">    本项目原料卸载粉尘核算一览表</w:t>
            </w:r>
          </w:p>
          <w:tbl>
            <w:tblPr>
              <w:tblStyle w:val="26"/>
              <w:tblW w:w="7932" w:type="dxa"/>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295"/>
              <w:gridCol w:w="1747"/>
              <w:gridCol w:w="1888"/>
              <w:gridCol w:w="1686"/>
              <w:gridCol w:w="131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95" w:type="dxa"/>
                  <w:tcBorders>
                    <w:tl2br w:val="nil"/>
                    <w:tr2bl w:val="nil"/>
                  </w:tcBorders>
                  <w:vAlign w:val="center"/>
                </w:tcPr>
                <w:p>
                  <w:pPr>
                    <w:jc w:val="center"/>
                    <w:rPr>
                      <w:b/>
                      <w:snapToGrid w:val="0"/>
                      <w:kern w:val="0"/>
                      <w:szCs w:val="21"/>
                    </w:rPr>
                  </w:pPr>
                  <w:r>
                    <w:rPr>
                      <w:rFonts w:hint="eastAsia"/>
                      <w:b/>
                      <w:snapToGrid w:val="0"/>
                      <w:kern w:val="0"/>
                      <w:szCs w:val="21"/>
                    </w:rPr>
                    <w:t>类别</w:t>
                  </w:r>
                </w:p>
              </w:tc>
              <w:tc>
                <w:tcPr>
                  <w:tcW w:w="1747" w:type="dxa"/>
                  <w:tcBorders>
                    <w:tl2br w:val="nil"/>
                    <w:tr2bl w:val="nil"/>
                  </w:tcBorders>
                  <w:vAlign w:val="center"/>
                </w:tcPr>
                <w:p>
                  <w:pPr>
                    <w:jc w:val="center"/>
                    <w:rPr>
                      <w:b/>
                      <w:snapToGrid w:val="0"/>
                      <w:kern w:val="0"/>
                      <w:szCs w:val="21"/>
                    </w:rPr>
                  </w:pPr>
                  <w:r>
                    <w:rPr>
                      <w:rFonts w:hint="eastAsia"/>
                      <w:b/>
                      <w:snapToGrid w:val="0"/>
                      <w:kern w:val="0"/>
                      <w:szCs w:val="21"/>
                    </w:rPr>
                    <w:t>汽车装载量（M）</w:t>
                  </w:r>
                </w:p>
              </w:tc>
              <w:tc>
                <w:tcPr>
                  <w:tcW w:w="1888" w:type="dxa"/>
                  <w:tcBorders>
                    <w:tl2br w:val="nil"/>
                    <w:tr2bl w:val="nil"/>
                  </w:tcBorders>
                  <w:vAlign w:val="center"/>
                </w:tcPr>
                <w:p>
                  <w:pPr>
                    <w:jc w:val="center"/>
                    <w:rPr>
                      <w:b/>
                      <w:snapToGrid w:val="0"/>
                      <w:kern w:val="0"/>
                      <w:szCs w:val="21"/>
                    </w:rPr>
                  </w:pPr>
                  <w:r>
                    <w:rPr>
                      <w:rFonts w:hint="eastAsia"/>
                      <w:b/>
                      <w:snapToGrid w:val="0"/>
                      <w:kern w:val="0"/>
                      <w:szCs w:val="21"/>
                    </w:rPr>
                    <w:t>卸载起尘量（g/次）</w:t>
                  </w:r>
                </w:p>
              </w:tc>
              <w:tc>
                <w:tcPr>
                  <w:tcW w:w="1686" w:type="dxa"/>
                  <w:tcBorders>
                    <w:tl2br w:val="nil"/>
                    <w:tr2bl w:val="nil"/>
                  </w:tcBorders>
                  <w:vAlign w:val="center"/>
                </w:tcPr>
                <w:p>
                  <w:pPr>
                    <w:jc w:val="center"/>
                    <w:rPr>
                      <w:b/>
                      <w:snapToGrid w:val="0"/>
                      <w:kern w:val="0"/>
                      <w:szCs w:val="21"/>
                    </w:rPr>
                  </w:pPr>
                  <w:r>
                    <w:rPr>
                      <w:rFonts w:hint="eastAsia"/>
                      <w:b/>
                      <w:snapToGrid w:val="0"/>
                      <w:kern w:val="0"/>
                      <w:szCs w:val="21"/>
                    </w:rPr>
                    <w:t>装载次数（次/a）</w:t>
                  </w:r>
                </w:p>
              </w:tc>
              <w:tc>
                <w:tcPr>
                  <w:tcW w:w="1316" w:type="dxa"/>
                  <w:tcBorders>
                    <w:tl2br w:val="nil"/>
                    <w:tr2bl w:val="nil"/>
                  </w:tcBorders>
                  <w:vAlign w:val="center"/>
                </w:tcPr>
                <w:p>
                  <w:pPr>
                    <w:jc w:val="center"/>
                    <w:rPr>
                      <w:b/>
                      <w:snapToGrid w:val="0"/>
                      <w:kern w:val="0"/>
                      <w:szCs w:val="21"/>
                    </w:rPr>
                  </w:pPr>
                  <w:r>
                    <w:rPr>
                      <w:rFonts w:hint="eastAsia"/>
                      <w:b/>
                      <w:snapToGrid w:val="0"/>
                      <w:kern w:val="0"/>
                      <w:szCs w:val="21"/>
                    </w:rPr>
                    <w:t>起尘量（t/a）</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295" w:type="dxa"/>
                  <w:tcBorders>
                    <w:tl2br w:val="nil"/>
                    <w:tr2bl w:val="nil"/>
                  </w:tcBorders>
                  <w:vAlign w:val="center"/>
                </w:tcPr>
                <w:p>
                  <w:pPr>
                    <w:jc w:val="center"/>
                    <w:rPr>
                      <w:snapToGrid w:val="0"/>
                      <w:kern w:val="0"/>
                      <w:szCs w:val="21"/>
                    </w:rPr>
                  </w:pPr>
                  <w:r>
                    <w:rPr>
                      <w:rFonts w:hint="eastAsia"/>
                      <w:snapToGrid w:val="0"/>
                      <w:kern w:val="0"/>
                      <w:szCs w:val="21"/>
                    </w:rPr>
                    <w:t>原料卸载</w:t>
                  </w:r>
                </w:p>
              </w:tc>
              <w:tc>
                <w:tcPr>
                  <w:tcW w:w="1747" w:type="dxa"/>
                  <w:tcBorders>
                    <w:tl2br w:val="nil"/>
                    <w:tr2bl w:val="nil"/>
                  </w:tcBorders>
                  <w:vAlign w:val="center"/>
                </w:tcPr>
                <w:p>
                  <w:pPr>
                    <w:jc w:val="center"/>
                    <w:rPr>
                      <w:snapToGrid w:val="0"/>
                      <w:kern w:val="0"/>
                      <w:szCs w:val="21"/>
                    </w:rPr>
                  </w:pPr>
                  <w:r>
                    <w:rPr>
                      <w:rFonts w:hint="eastAsia"/>
                      <w:snapToGrid w:val="0"/>
                      <w:kern w:val="0"/>
                      <w:szCs w:val="21"/>
                    </w:rPr>
                    <w:t>35t</w:t>
                  </w:r>
                </w:p>
              </w:tc>
              <w:tc>
                <w:tcPr>
                  <w:tcW w:w="1888" w:type="dxa"/>
                  <w:tcBorders>
                    <w:tl2br w:val="nil"/>
                    <w:tr2bl w:val="nil"/>
                  </w:tcBorders>
                  <w:vAlign w:val="center"/>
                </w:tcPr>
                <w:p>
                  <w:pPr>
                    <w:jc w:val="center"/>
                    <w:rPr>
                      <w:snapToGrid w:val="0"/>
                      <w:kern w:val="0"/>
                      <w:szCs w:val="21"/>
                    </w:rPr>
                  </w:pPr>
                  <w:r>
                    <w:rPr>
                      <w:rFonts w:hint="eastAsia"/>
                      <w:snapToGrid w:val="0"/>
                      <w:kern w:val="0"/>
                      <w:szCs w:val="21"/>
                    </w:rPr>
                    <w:t>8.78</w:t>
                  </w:r>
                </w:p>
              </w:tc>
              <w:tc>
                <w:tcPr>
                  <w:tcW w:w="1686" w:type="dxa"/>
                  <w:tcBorders>
                    <w:tl2br w:val="nil"/>
                    <w:tr2bl w:val="nil"/>
                  </w:tcBorders>
                  <w:vAlign w:val="center"/>
                </w:tcPr>
                <w:p>
                  <w:pPr>
                    <w:jc w:val="center"/>
                    <w:rPr>
                      <w:rFonts w:hint="eastAsia" w:eastAsia="宋体"/>
                      <w:snapToGrid w:val="0"/>
                      <w:color w:val="FF0000"/>
                      <w:kern w:val="0"/>
                      <w:szCs w:val="21"/>
                      <w:lang w:val="en-US" w:eastAsia="zh-CN"/>
                    </w:rPr>
                  </w:pPr>
                  <w:r>
                    <w:rPr>
                      <w:rFonts w:hint="eastAsia"/>
                      <w:snapToGrid w:val="0"/>
                      <w:kern w:val="0"/>
                      <w:szCs w:val="21"/>
                      <w:lang w:val="en-US" w:eastAsia="zh-CN"/>
                    </w:rPr>
                    <w:t>2694</w:t>
                  </w:r>
                </w:p>
              </w:tc>
              <w:tc>
                <w:tcPr>
                  <w:tcW w:w="1316" w:type="dxa"/>
                  <w:tcBorders>
                    <w:tl2br w:val="nil"/>
                    <w:tr2bl w:val="nil"/>
                  </w:tcBorders>
                  <w:vAlign w:val="center"/>
                </w:tcPr>
                <w:p>
                  <w:pPr>
                    <w:jc w:val="center"/>
                    <w:rPr>
                      <w:rFonts w:hint="eastAsia" w:eastAsia="宋体"/>
                      <w:snapToGrid w:val="0"/>
                      <w:color w:val="FF0000"/>
                      <w:kern w:val="0"/>
                      <w:szCs w:val="21"/>
                      <w:lang w:val="en-US" w:eastAsia="zh-CN"/>
                    </w:rPr>
                  </w:pPr>
                  <w:r>
                    <w:rPr>
                      <w:rFonts w:hint="eastAsia"/>
                      <w:snapToGrid w:val="0"/>
                      <w:kern w:val="0"/>
                      <w:szCs w:val="21"/>
                      <w:lang w:val="en-US" w:eastAsia="zh-CN"/>
                    </w:rPr>
                    <w:t>0.024</w:t>
                  </w:r>
                </w:p>
              </w:tc>
            </w:tr>
          </w:tbl>
          <w:p>
            <w:pPr>
              <w:spacing w:line="360" w:lineRule="auto"/>
              <w:ind w:firstLine="482" w:firstLineChars="200"/>
              <w:rPr>
                <w:b/>
                <w:bCs/>
                <w:snapToGrid w:val="0"/>
                <w:kern w:val="0"/>
                <w:sz w:val="24"/>
                <w:u w:val="single"/>
              </w:rPr>
            </w:pPr>
            <w:r>
              <w:rPr>
                <w:rFonts w:hint="eastAsia"/>
                <w:b/>
                <w:bCs/>
                <w:snapToGrid w:val="0"/>
                <w:kern w:val="0"/>
                <w:sz w:val="24"/>
                <w:u w:val="single"/>
              </w:rPr>
              <w:t>评价建议建设单位按照《河南省生态环境厅关于印发河南省工业大气污染防治6个专项方案的通知》（[2019]84号）中“河南省2019年工业企业无组织排放治理方案”中料场密闭治理要求做到：</w:t>
            </w:r>
          </w:p>
          <w:p>
            <w:pPr>
              <w:spacing w:line="360" w:lineRule="auto"/>
              <w:ind w:firstLine="482" w:firstLineChars="200"/>
              <w:rPr>
                <w:b/>
                <w:bCs/>
                <w:snapToGrid w:val="0"/>
                <w:kern w:val="0"/>
                <w:sz w:val="24"/>
                <w:u w:val="single"/>
              </w:rPr>
            </w:pPr>
            <w:r>
              <w:rPr>
                <w:rFonts w:hint="eastAsia"/>
                <w:b/>
                <w:bCs/>
                <w:snapToGrid w:val="0"/>
                <w:kern w:val="0"/>
                <w:sz w:val="24"/>
                <w:u w:val="single"/>
              </w:rPr>
              <w:t>①原料全部在密闭的原料库内分区堆放，所有物料均无露天堆放；</w:t>
            </w:r>
          </w:p>
          <w:p>
            <w:pPr>
              <w:spacing w:line="360" w:lineRule="auto"/>
              <w:ind w:firstLine="482" w:firstLineChars="200"/>
              <w:rPr>
                <w:b/>
                <w:bCs/>
                <w:snapToGrid w:val="0"/>
                <w:kern w:val="0"/>
                <w:sz w:val="24"/>
                <w:u w:val="single"/>
              </w:rPr>
            </w:pPr>
            <w:r>
              <w:rPr>
                <w:rFonts w:hint="eastAsia"/>
                <w:b/>
                <w:bCs/>
                <w:snapToGrid w:val="0"/>
                <w:kern w:val="0"/>
                <w:sz w:val="24"/>
                <w:u w:val="single"/>
              </w:rPr>
              <w:t>②原料的堆放、卸载、转运均在密闭原料库内进行；</w:t>
            </w:r>
          </w:p>
          <w:p>
            <w:pPr>
              <w:spacing w:line="360" w:lineRule="auto"/>
              <w:ind w:firstLine="482" w:firstLineChars="200"/>
              <w:rPr>
                <w:b/>
                <w:bCs/>
                <w:snapToGrid w:val="0"/>
                <w:kern w:val="0"/>
                <w:sz w:val="24"/>
                <w:u w:val="single"/>
              </w:rPr>
            </w:pPr>
            <w:r>
              <w:rPr>
                <w:rFonts w:hint="eastAsia"/>
                <w:b/>
                <w:bCs/>
                <w:snapToGrid w:val="0"/>
                <w:kern w:val="0"/>
                <w:sz w:val="24"/>
                <w:u w:val="single"/>
              </w:rPr>
              <w:t>③原料库四面密闭，通道口安装卷帘门，在无车辆出入时将门关闭；</w:t>
            </w:r>
          </w:p>
          <w:p>
            <w:pPr>
              <w:spacing w:line="360" w:lineRule="auto"/>
              <w:ind w:firstLine="482" w:firstLineChars="200"/>
              <w:rPr>
                <w:b/>
                <w:bCs/>
                <w:snapToGrid w:val="0"/>
                <w:kern w:val="0"/>
                <w:sz w:val="24"/>
                <w:u w:val="single"/>
              </w:rPr>
            </w:pPr>
            <w:r>
              <w:rPr>
                <w:rFonts w:hint="eastAsia"/>
                <w:b/>
                <w:bCs/>
                <w:snapToGrid w:val="0"/>
                <w:kern w:val="0"/>
                <w:sz w:val="24"/>
                <w:u w:val="single"/>
              </w:rPr>
              <w:t>④原料库内所有地面硬化，并派专人定期对原料库进行打扫，保证除物料堆放区域外没有明显积尘；</w:t>
            </w:r>
          </w:p>
          <w:p>
            <w:pPr>
              <w:spacing w:line="360" w:lineRule="auto"/>
              <w:ind w:firstLine="482" w:firstLineChars="200"/>
              <w:rPr>
                <w:b/>
                <w:bCs/>
                <w:snapToGrid w:val="0"/>
                <w:kern w:val="0"/>
                <w:sz w:val="24"/>
                <w:u w:val="single"/>
              </w:rPr>
            </w:pPr>
            <w:r>
              <w:rPr>
                <w:rFonts w:hint="eastAsia"/>
                <w:b/>
                <w:bCs/>
                <w:snapToGrid w:val="0"/>
                <w:kern w:val="0"/>
                <w:sz w:val="24"/>
                <w:u w:val="single"/>
              </w:rPr>
              <w:t>⑤原料库内安装固定的喷干雾抑尘装置。</w:t>
            </w:r>
          </w:p>
          <w:p>
            <w:pPr>
              <w:spacing w:line="360" w:lineRule="auto"/>
              <w:ind w:firstLine="482" w:firstLineChars="200"/>
              <w:rPr>
                <w:b/>
                <w:bCs/>
                <w:snapToGrid w:val="0"/>
                <w:kern w:val="0"/>
                <w:sz w:val="24"/>
                <w:u w:val="single"/>
              </w:rPr>
            </w:pPr>
            <w:r>
              <w:rPr>
                <w:rFonts w:hint="eastAsia"/>
                <w:b/>
                <w:bCs/>
                <w:snapToGrid w:val="0"/>
                <w:kern w:val="0"/>
                <w:sz w:val="24"/>
                <w:u w:val="single"/>
              </w:rPr>
              <w:t>经采取以上措施后，本项目卸载起尘量可减少90%以上，故粉尘排放量约为0.002</w:t>
            </w:r>
            <w:r>
              <w:rPr>
                <w:rFonts w:hint="eastAsia"/>
                <w:b/>
                <w:bCs/>
                <w:snapToGrid w:val="0"/>
                <w:kern w:val="0"/>
                <w:sz w:val="24"/>
                <w:u w:val="single"/>
                <w:lang w:val="en-US" w:eastAsia="zh-CN"/>
              </w:rPr>
              <w:t>4</w:t>
            </w:r>
            <w:r>
              <w:rPr>
                <w:rFonts w:hint="eastAsia"/>
                <w:b/>
                <w:bCs/>
                <w:snapToGrid w:val="0"/>
                <w:kern w:val="0"/>
                <w:sz w:val="24"/>
                <w:u w:val="single"/>
              </w:rPr>
              <w:t>t/a，以无组织形式排放。</w:t>
            </w:r>
          </w:p>
          <w:p>
            <w:pPr>
              <w:spacing w:line="360" w:lineRule="auto"/>
              <w:ind w:firstLine="480" w:firstLineChars="200"/>
              <w:rPr>
                <w:snapToGrid w:val="0"/>
                <w:kern w:val="0"/>
                <w:sz w:val="24"/>
              </w:rPr>
            </w:pPr>
            <w:r>
              <w:rPr>
                <w:rFonts w:hint="eastAsia" w:ascii="宋体" w:hAnsi="宋体"/>
                <w:sz w:val="24"/>
              </w:rPr>
              <w:t>（</w:t>
            </w:r>
            <w:r>
              <w:rPr>
                <w:rFonts w:hint="eastAsia"/>
                <w:snapToGrid w:val="0"/>
                <w:kern w:val="0"/>
                <w:sz w:val="24"/>
              </w:rPr>
              <w:t>2）原料上料工序产生的无组织粉尘</w:t>
            </w:r>
          </w:p>
          <w:p>
            <w:pPr>
              <w:spacing w:line="360" w:lineRule="auto"/>
              <w:ind w:firstLine="480" w:firstLineChars="200"/>
              <w:rPr>
                <w:snapToGrid w:val="0"/>
                <w:kern w:val="0"/>
                <w:sz w:val="24"/>
              </w:rPr>
            </w:pPr>
            <w:r>
              <w:rPr>
                <w:rFonts w:hint="eastAsia"/>
                <w:snapToGrid w:val="0"/>
                <w:kern w:val="0"/>
                <w:sz w:val="24"/>
              </w:rPr>
              <w:t>本项目原料在原料库内通过铲车将原料投入上料仓内，此过程中会产生少量的粉尘，通过集气罩收集经袋式除尘器（1#）处理后由排气筒（DA001）排放，未被集气罩收集的粉尘量为0.</w:t>
            </w:r>
            <w:r>
              <w:rPr>
                <w:rFonts w:hint="eastAsia"/>
                <w:snapToGrid w:val="0"/>
                <w:kern w:val="0"/>
                <w:sz w:val="24"/>
                <w:lang w:val="en-US" w:eastAsia="zh-CN"/>
              </w:rPr>
              <w:t>47</w:t>
            </w:r>
            <w:r>
              <w:rPr>
                <w:rFonts w:hint="eastAsia"/>
                <w:snapToGrid w:val="0"/>
                <w:kern w:val="0"/>
                <w:sz w:val="24"/>
              </w:rPr>
              <w:t>t/a。</w:t>
            </w:r>
          </w:p>
          <w:p>
            <w:pPr>
              <w:spacing w:line="360" w:lineRule="auto"/>
              <w:ind w:firstLine="480" w:firstLineChars="200"/>
              <w:rPr>
                <w:snapToGrid w:val="0"/>
                <w:kern w:val="0"/>
                <w:sz w:val="24"/>
              </w:rPr>
            </w:pPr>
            <w:r>
              <w:rPr>
                <w:rFonts w:hint="eastAsia"/>
                <w:snapToGrid w:val="0"/>
                <w:kern w:val="0"/>
                <w:sz w:val="24"/>
              </w:rPr>
              <w:t>为减少粉尘的产生量，本项目采取的措施主要有：</w:t>
            </w:r>
          </w:p>
          <w:p>
            <w:pPr>
              <w:spacing w:line="360" w:lineRule="auto"/>
              <w:ind w:firstLine="480" w:firstLineChars="200"/>
              <w:rPr>
                <w:snapToGrid w:val="0"/>
                <w:kern w:val="0"/>
                <w:sz w:val="24"/>
              </w:rPr>
            </w:pPr>
            <w:r>
              <w:rPr>
                <w:rFonts w:hint="eastAsia"/>
                <w:snapToGrid w:val="0"/>
                <w:kern w:val="0"/>
                <w:sz w:val="24"/>
              </w:rPr>
              <w:t>①在原料库上方设置喷干雾抑尘装置；</w:t>
            </w:r>
          </w:p>
          <w:p>
            <w:pPr>
              <w:spacing w:line="360" w:lineRule="auto"/>
              <w:ind w:firstLine="480" w:firstLineChars="200"/>
              <w:rPr>
                <w:snapToGrid w:val="0"/>
                <w:kern w:val="0"/>
                <w:sz w:val="24"/>
              </w:rPr>
            </w:pPr>
            <w:r>
              <w:rPr>
                <w:rFonts w:hint="eastAsia"/>
                <w:snapToGrid w:val="0"/>
                <w:kern w:val="0"/>
                <w:sz w:val="24"/>
              </w:rPr>
              <w:t>②上料仓三面密闭，另外一侧设置软门帘；</w:t>
            </w:r>
          </w:p>
          <w:p>
            <w:pPr>
              <w:spacing w:line="360" w:lineRule="auto"/>
              <w:ind w:firstLine="480" w:firstLineChars="200"/>
              <w:rPr>
                <w:snapToGrid w:val="0"/>
                <w:kern w:val="0"/>
                <w:sz w:val="24"/>
              </w:rPr>
            </w:pPr>
            <w:r>
              <w:rPr>
                <w:rFonts w:hint="eastAsia"/>
                <w:snapToGrid w:val="0"/>
                <w:kern w:val="0"/>
                <w:sz w:val="24"/>
              </w:rPr>
              <w:t>③原料库四面密闭，通道口安装卷帘门，在无车辆出入时将门关闭。</w:t>
            </w:r>
          </w:p>
          <w:p>
            <w:pPr>
              <w:spacing w:line="360" w:lineRule="auto"/>
              <w:ind w:firstLine="480" w:firstLineChars="200"/>
              <w:rPr>
                <w:snapToGrid w:val="0"/>
                <w:kern w:val="0"/>
                <w:sz w:val="24"/>
              </w:rPr>
            </w:pPr>
            <w:r>
              <w:rPr>
                <w:rFonts w:hint="eastAsia"/>
                <w:snapToGrid w:val="0"/>
                <w:kern w:val="0"/>
                <w:sz w:val="24"/>
              </w:rPr>
              <w:t>经采取以上措施后，本项目上料工序约有10%的粉尘以无组织形式排放，排放量为0.0</w:t>
            </w:r>
            <w:r>
              <w:rPr>
                <w:rFonts w:hint="eastAsia"/>
                <w:snapToGrid w:val="0"/>
                <w:kern w:val="0"/>
                <w:sz w:val="24"/>
                <w:lang w:val="en-US" w:eastAsia="zh-CN"/>
              </w:rPr>
              <w:t>47</w:t>
            </w:r>
            <w:r>
              <w:rPr>
                <w:rFonts w:hint="eastAsia"/>
                <w:snapToGrid w:val="0"/>
                <w:kern w:val="0"/>
                <w:sz w:val="24"/>
              </w:rPr>
              <w:t>t/a。</w:t>
            </w:r>
          </w:p>
          <w:p>
            <w:pPr>
              <w:spacing w:line="360" w:lineRule="auto"/>
              <w:ind w:firstLine="480" w:firstLineChars="200"/>
              <w:rPr>
                <w:snapToGrid w:val="0"/>
                <w:kern w:val="0"/>
                <w:sz w:val="24"/>
              </w:rPr>
            </w:pPr>
            <w:r>
              <w:rPr>
                <w:rFonts w:hint="eastAsia" w:ascii="宋体" w:hAnsi="宋体"/>
                <w:sz w:val="24"/>
              </w:rPr>
              <w:t>（</w:t>
            </w:r>
            <w:r>
              <w:rPr>
                <w:sz w:val="24"/>
              </w:rPr>
              <w:t>3</w:t>
            </w:r>
            <w:r>
              <w:rPr>
                <w:rFonts w:hint="eastAsia"/>
                <w:snapToGrid w:val="0"/>
                <w:kern w:val="0"/>
                <w:sz w:val="24"/>
              </w:rPr>
              <w:t>）破碎工序产生的无组织粉尘</w:t>
            </w:r>
          </w:p>
          <w:p>
            <w:pPr>
              <w:spacing w:line="360" w:lineRule="auto"/>
              <w:ind w:firstLine="480" w:firstLineChars="200"/>
              <w:rPr>
                <w:snapToGrid w:val="0"/>
                <w:kern w:val="0"/>
                <w:sz w:val="24"/>
              </w:rPr>
            </w:pPr>
            <w:r>
              <w:rPr>
                <w:rFonts w:hint="eastAsia"/>
                <w:snapToGrid w:val="0"/>
                <w:kern w:val="0"/>
                <w:sz w:val="24"/>
              </w:rPr>
              <w:t>本项目破碎过程中产生的粉尘，通过集气罩收集经袋式除尘器（2#）处理后由排气筒（DA001）排放，未被集气罩收集的粉尘量为</w:t>
            </w:r>
            <w:r>
              <w:rPr>
                <w:rFonts w:hint="eastAsia"/>
                <w:snapToGrid w:val="0"/>
                <w:kern w:val="0"/>
                <w:sz w:val="24"/>
                <w:lang w:val="en-US" w:eastAsia="zh-CN"/>
              </w:rPr>
              <w:t>2.35</w:t>
            </w:r>
            <w:r>
              <w:rPr>
                <w:rFonts w:hint="eastAsia"/>
                <w:snapToGrid w:val="0"/>
                <w:kern w:val="0"/>
                <w:sz w:val="24"/>
              </w:rPr>
              <w:t>t/a。</w:t>
            </w:r>
          </w:p>
          <w:p>
            <w:pPr>
              <w:spacing w:line="360" w:lineRule="auto"/>
              <w:ind w:firstLine="480" w:firstLineChars="200"/>
              <w:rPr>
                <w:snapToGrid w:val="0"/>
                <w:kern w:val="0"/>
                <w:sz w:val="24"/>
              </w:rPr>
            </w:pPr>
            <w:r>
              <w:rPr>
                <w:rFonts w:hint="eastAsia"/>
                <w:snapToGrid w:val="0"/>
                <w:kern w:val="0"/>
                <w:sz w:val="24"/>
              </w:rPr>
              <w:t>为减少粉尘的产生量，本项目采取的措施主要有：生产车间四面密闭，通道口安装卷帘门，在无车辆出入时将门关闭。</w:t>
            </w:r>
          </w:p>
          <w:p>
            <w:pPr>
              <w:spacing w:line="360" w:lineRule="auto"/>
              <w:ind w:firstLine="480" w:firstLineChars="200"/>
              <w:rPr>
                <w:snapToGrid w:val="0"/>
                <w:kern w:val="0"/>
                <w:sz w:val="24"/>
              </w:rPr>
            </w:pPr>
            <w:r>
              <w:rPr>
                <w:rFonts w:hint="eastAsia"/>
                <w:snapToGrid w:val="0"/>
                <w:kern w:val="0"/>
                <w:sz w:val="24"/>
              </w:rPr>
              <w:t>经采取以上措施后，本项目上料工序约有10%的粉尘以无组织形式排放，排放量为</w:t>
            </w:r>
            <w:r>
              <w:rPr>
                <w:rFonts w:hint="eastAsia"/>
                <w:snapToGrid w:val="0"/>
                <w:kern w:val="0"/>
                <w:sz w:val="24"/>
                <w:lang w:val="en-US" w:eastAsia="zh-CN"/>
              </w:rPr>
              <w:t>0.235</w:t>
            </w:r>
            <w:r>
              <w:rPr>
                <w:rFonts w:hint="eastAsia"/>
                <w:snapToGrid w:val="0"/>
                <w:kern w:val="0"/>
                <w:sz w:val="24"/>
              </w:rPr>
              <w:t>t/a。</w:t>
            </w:r>
          </w:p>
          <w:p>
            <w:pPr>
              <w:spacing w:line="360" w:lineRule="auto"/>
              <w:ind w:firstLine="482" w:firstLineChars="200"/>
              <w:rPr>
                <w:b/>
                <w:bCs/>
                <w:snapToGrid w:val="0"/>
                <w:kern w:val="0"/>
                <w:sz w:val="24"/>
              </w:rPr>
            </w:pPr>
            <w:r>
              <w:rPr>
                <w:rFonts w:hint="eastAsia"/>
                <w:b/>
                <w:bCs/>
                <w:snapToGrid w:val="0"/>
                <w:kern w:val="0"/>
                <w:sz w:val="24"/>
              </w:rPr>
              <w:t>1.1.3 道路运输扬尘</w:t>
            </w:r>
          </w:p>
          <w:p>
            <w:pPr>
              <w:spacing w:line="360" w:lineRule="auto"/>
              <w:ind w:firstLine="480" w:firstLineChars="200"/>
              <w:rPr>
                <w:snapToGrid w:val="0"/>
                <w:kern w:val="0"/>
                <w:sz w:val="24"/>
              </w:rPr>
            </w:pPr>
            <w:r>
              <w:rPr>
                <w:rFonts w:hint="eastAsia"/>
                <w:snapToGrid w:val="0"/>
                <w:kern w:val="0"/>
                <w:sz w:val="24"/>
              </w:rPr>
              <w:t>本项目原料及产品均采用汽车运输，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spacing w:line="360" w:lineRule="auto"/>
              <w:ind w:firstLine="480" w:firstLineChars="200"/>
              <w:jc w:val="center"/>
              <w:rPr>
                <w:snapToGrid w:val="0"/>
                <w:kern w:val="0"/>
                <w:sz w:val="24"/>
              </w:rPr>
            </w:pPr>
            <w:r>
              <w:rPr>
                <w:rFonts w:hint="eastAsia"/>
                <w:snapToGrid w:val="0"/>
                <w:kern w:val="0"/>
                <w:position w:val="-24"/>
                <w:sz w:val="24"/>
              </w:rPr>
              <w:object>
                <v:shape id="_x0000_i1028" o:spt="75" type="#_x0000_t75" style="height:31.1pt;width:139.65pt;" o:ole="t" filled="f" o:preferrelative="t" stroked="f" coordsize="21600,21600">
                  <v:path/>
                  <v:fill on="f" focussize="0,0"/>
                  <v:stroke on="f" joinstyle="miter"/>
                  <v:imagedata r:id="rId13" o:title=""/>
                  <o:lock v:ext="edit" aspectratio="t"/>
                  <w10:wrap type="none"/>
                  <w10:anchorlock/>
                </v:shape>
                <o:OLEObject Type="Embed" ProgID="Equation.KSEE3" ShapeID="_x0000_i1028" DrawAspect="Content" ObjectID="_1468075728" r:id="rId12">
                  <o:LockedField>false</o:LockedField>
                </o:OLEObject>
              </w:object>
            </w:r>
          </w:p>
          <w:p>
            <w:pPr>
              <w:spacing w:line="360" w:lineRule="auto"/>
              <w:ind w:firstLine="480" w:firstLineChars="200"/>
              <w:rPr>
                <w:snapToGrid w:val="0"/>
                <w:kern w:val="0"/>
                <w:sz w:val="24"/>
              </w:rPr>
            </w:pPr>
            <w:r>
              <w:rPr>
                <w:rFonts w:hint="eastAsia"/>
                <w:snapToGrid w:val="0"/>
                <w:kern w:val="0"/>
                <w:sz w:val="24"/>
              </w:rPr>
              <w:t>式中：Q：汽车行驶时的扬尘，kg/km·辆；</w:t>
            </w:r>
          </w:p>
          <w:p>
            <w:pPr>
              <w:spacing w:line="360" w:lineRule="auto"/>
              <w:ind w:firstLine="1200" w:firstLineChars="500"/>
              <w:rPr>
                <w:snapToGrid w:val="0"/>
                <w:kern w:val="0"/>
                <w:sz w:val="24"/>
              </w:rPr>
            </w:pPr>
            <w:r>
              <w:rPr>
                <w:rFonts w:hint="eastAsia"/>
                <w:snapToGrid w:val="0"/>
                <w:kern w:val="0"/>
                <w:sz w:val="24"/>
              </w:rPr>
              <w:t>V：汽车速度，km/h，本次计算取10；</w:t>
            </w:r>
          </w:p>
          <w:p>
            <w:pPr>
              <w:spacing w:line="360" w:lineRule="auto"/>
              <w:ind w:firstLine="1200" w:firstLineChars="500"/>
              <w:rPr>
                <w:snapToGrid w:val="0"/>
                <w:kern w:val="0"/>
                <w:sz w:val="24"/>
              </w:rPr>
            </w:pPr>
            <w:r>
              <w:rPr>
                <w:rFonts w:hint="eastAsia"/>
                <w:snapToGrid w:val="0"/>
                <w:kern w:val="0"/>
                <w:sz w:val="24"/>
              </w:rPr>
              <w:t>W：汽车载重量，吨；</w:t>
            </w:r>
          </w:p>
          <w:p>
            <w:pPr>
              <w:spacing w:line="360" w:lineRule="auto"/>
              <w:ind w:firstLine="1200" w:firstLineChars="500"/>
              <w:rPr>
                <w:snapToGrid w:val="0"/>
                <w:kern w:val="0"/>
                <w:sz w:val="24"/>
              </w:rPr>
            </w:pPr>
            <w:r>
              <w:rPr>
                <w:rFonts w:hint="eastAsia"/>
                <w:snapToGrid w:val="0"/>
                <w:kern w:val="0"/>
                <w:sz w:val="24"/>
              </w:rPr>
              <w:t>P：道路表面粉尘量，kg/m</w:t>
            </w:r>
            <w:r>
              <w:rPr>
                <w:rFonts w:hint="eastAsia"/>
                <w:snapToGrid w:val="0"/>
                <w:kern w:val="0"/>
                <w:sz w:val="24"/>
                <w:vertAlign w:val="superscript"/>
              </w:rPr>
              <w:t>2</w:t>
            </w:r>
            <w:r>
              <w:rPr>
                <w:rFonts w:hint="eastAsia"/>
                <w:snapToGrid w:val="0"/>
                <w:kern w:val="0"/>
                <w:sz w:val="24"/>
              </w:rPr>
              <w:t>，本次计算取0.1。</w:t>
            </w:r>
          </w:p>
          <w:p>
            <w:pPr>
              <w:spacing w:line="360" w:lineRule="auto"/>
              <w:ind w:firstLine="480" w:firstLineChars="200"/>
              <w:rPr>
                <w:snapToGrid w:val="0"/>
                <w:kern w:val="0"/>
                <w:sz w:val="24"/>
              </w:rPr>
            </w:pPr>
            <w:r>
              <w:rPr>
                <w:rFonts w:hint="eastAsia"/>
                <w:snapToGrid w:val="0"/>
                <w:kern w:val="0"/>
                <w:sz w:val="24"/>
              </w:rPr>
              <w:t>经计算，载重为10t的汽车行驶时扬尘为0.102kg/km·辆，载重为45t的汽车行驶时扬尘为0.38kg/km·辆。</w:t>
            </w:r>
          </w:p>
          <w:p>
            <w:pPr>
              <w:spacing w:line="360" w:lineRule="auto"/>
              <w:ind w:firstLine="480" w:firstLineChars="200"/>
              <w:rPr>
                <w:snapToGrid w:val="0"/>
                <w:kern w:val="0"/>
                <w:sz w:val="24"/>
              </w:rPr>
            </w:pPr>
            <w:r>
              <w:rPr>
                <w:rFonts w:hint="eastAsia"/>
                <w:snapToGrid w:val="0"/>
                <w:kern w:val="0"/>
                <w:sz w:val="24"/>
              </w:rPr>
              <w:t>车流量核算：本项目原料转运量为</w:t>
            </w:r>
            <w:r>
              <w:rPr>
                <w:rFonts w:hint="eastAsia"/>
                <w:snapToGrid w:val="0"/>
                <w:kern w:val="0"/>
                <w:sz w:val="24"/>
                <w:lang w:val="en-US" w:eastAsia="zh-CN"/>
              </w:rPr>
              <w:t>94288.04</w:t>
            </w:r>
            <w:r>
              <w:rPr>
                <w:rFonts w:hint="eastAsia"/>
                <w:snapToGrid w:val="0"/>
                <w:kern w:val="0"/>
                <w:sz w:val="24"/>
              </w:rPr>
              <w:t>t/a，单车每次运输量按35t计算，转运车辆为</w:t>
            </w:r>
            <w:r>
              <w:rPr>
                <w:rFonts w:hint="eastAsia"/>
                <w:snapToGrid w:val="0"/>
                <w:kern w:val="0"/>
                <w:sz w:val="24"/>
                <w:lang w:val="en-US" w:eastAsia="zh-CN"/>
              </w:rPr>
              <w:t>2694</w:t>
            </w:r>
            <w:r>
              <w:rPr>
                <w:rFonts w:hint="eastAsia"/>
                <w:snapToGrid w:val="0"/>
                <w:kern w:val="0"/>
                <w:sz w:val="24"/>
              </w:rPr>
              <w:t>次/a；成品转运量为80000t/a，单车每次运输量按35t计算，转运车辆为2286次/a。</w:t>
            </w:r>
          </w:p>
          <w:p>
            <w:pPr>
              <w:spacing w:line="360" w:lineRule="auto"/>
              <w:ind w:firstLine="480" w:firstLineChars="200"/>
              <w:rPr>
                <w:snapToGrid w:val="0"/>
                <w:kern w:val="0"/>
                <w:sz w:val="24"/>
              </w:rPr>
            </w:pPr>
            <w:r>
              <w:rPr>
                <w:rFonts w:hint="eastAsia"/>
                <w:snapToGrid w:val="0"/>
                <w:kern w:val="0"/>
                <w:sz w:val="24"/>
              </w:rPr>
              <w:t>项目车辆在厂区行驶距离约为165m，经计算，本项目各种车辆在厂区内行驶产生的扬尘情况见表4-</w:t>
            </w:r>
            <w:r>
              <w:rPr>
                <w:rFonts w:hint="eastAsia"/>
                <w:snapToGrid w:val="0"/>
                <w:kern w:val="0"/>
                <w:sz w:val="24"/>
                <w:lang w:val="en-US" w:eastAsia="zh-CN"/>
              </w:rPr>
              <w:t>9</w:t>
            </w:r>
            <w:r>
              <w:rPr>
                <w:rFonts w:hint="eastAsia"/>
                <w:snapToGrid w:val="0"/>
                <w:kern w:val="0"/>
                <w:sz w:val="24"/>
              </w:rPr>
              <w:t>。</w:t>
            </w:r>
          </w:p>
          <w:p>
            <w:pPr>
              <w:spacing w:line="360" w:lineRule="auto"/>
              <w:ind w:firstLine="482" w:firstLineChars="200"/>
              <w:jc w:val="center"/>
              <w:rPr>
                <w:b/>
                <w:bCs/>
                <w:snapToGrid w:val="0"/>
                <w:kern w:val="0"/>
                <w:sz w:val="24"/>
              </w:rPr>
            </w:pPr>
            <w:r>
              <w:rPr>
                <w:rFonts w:hint="eastAsia"/>
                <w:b/>
                <w:bCs/>
                <w:snapToGrid w:val="0"/>
                <w:kern w:val="0"/>
                <w:sz w:val="24"/>
              </w:rPr>
              <w:t>表4-</w:t>
            </w:r>
            <w:r>
              <w:rPr>
                <w:rFonts w:hint="eastAsia"/>
                <w:b/>
                <w:bCs/>
                <w:snapToGrid w:val="0"/>
                <w:kern w:val="0"/>
                <w:sz w:val="24"/>
                <w:lang w:val="en-US" w:eastAsia="zh-CN"/>
              </w:rPr>
              <w:t>9</w:t>
            </w:r>
            <w:r>
              <w:rPr>
                <w:rFonts w:hint="eastAsia"/>
                <w:b/>
                <w:bCs/>
                <w:snapToGrid w:val="0"/>
                <w:kern w:val="0"/>
                <w:sz w:val="24"/>
              </w:rPr>
              <w:t xml:space="preserve">    项目车辆在厂区内行驶扬尘产排情况一览表</w:t>
            </w:r>
          </w:p>
          <w:tbl>
            <w:tblPr>
              <w:tblStyle w:val="27"/>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9"/>
              <w:gridCol w:w="998"/>
              <w:gridCol w:w="1123"/>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9" w:type="dxa"/>
                  <w:vAlign w:val="center"/>
                </w:tcPr>
                <w:p>
                  <w:pPr>
                    <w:jc w:val="center"/>
                    <w:rPr>
                      <w:b/>
                      <w:bCs/>
                      <w:snapToGrid w:val="0"/>
                      <w:kern w:val="0"/>
                    </w:rPr>
                  </w:pPr>
                  <w:r>
                    <w:rPr>
                      <w:rFonts w:hint="eastAsia"/>
                      <w:b/>
                      <w:bCs/>
                      <w:snapToGrid w:val="0"/>
                      <w:kern w:val="0"/>
                    </w:rPr>
                    <w:t>车辆类型</w:t>
                  </w:r>
                </w:p>
              </w:tc>
              <w:tc>
                <w:tcPr>
                  <w:tcW w:w="998" w:type="dxa"/>
                  <w:vAlign w:val="center"/>
                </w:tcPr>
                <w:p>
                  <w:pPr>
                    <w:jc w:val="center"/>
                    <w:rPr>
                      <w:b/>
                      <w:bCs/>
                      <w:snapToGrid w:val="0"/>
                      <w:kern w:val="0"/>
                    </w:rPr>
                  </w:pPr>
                  <w:r>
                    <w:rPr>
                      <w:rFonts w:hint="eastAsia"/>
                      <w:b/>
                      <w:bCs/>
                      <w:snapToGrid w:val="0"/>
                      <w:kern w:val="0"/>
                    </w:rPr>
                    <w:t>空车重（t）</w:t>
                  </w:r>
                </w:p>
              </w:tc>
              <w:tc>
                <w:tcPr>
                  <w:tcW w:w="1123" w:type="dxa"/>
                  <w:vAlign w:val="center"/>
                </w:tcPr>
                <w:p>
                  <w:pPr>
                    <w:jc w:val="center"/>
                    <w:rPr>
                      <w:b/>
                      <w:bCs/>
                      <w:snapToGrid w:val="0"/>
                      <w:kern w:val="0"/>
                    </w:rPr>
                  </w:pPr>
                  <w:r>
                    <w:rPr>
                      <w:rFonts w:hint="eastAsia"/>
                      <w:b/>
                      <w:bCs/>
                      <w:snapToGrid w:val="0"/>
                      <w:kern w:val="0"/>
                    </w:rPr>
                    <w:t>重载车重（t）</w:t>
                  </w:r>
                </w:p>
              </w:tc>
              <w:tc>
                <w:tcPr>
                  <w:tcW w:w="1134" w:type="dxa"/>
                  <w:vAlign w:val="center"/>
                </w:tcPr>
                <w:p>
                  <w:pPr>
                    <w:jc w:val="center"/>
                    <w:rPr>
                      <w:b/>
                      <w:bCs/>
                      <w:snapToGrid w:val="0"/>
                      <w:kern w:val="0"/>
                    </w:rPr>
                  </w:pPr>
                  <w:r>
                    <w:rPr>
                      <w:rFonts w:hint="eastAsia"/>
                      <w:b/>
                      <w:bCs/>
                      <w:snapToGrid w:val="0"/>
                      <w:kern w:val="0"/>
                    </w:rPr>
                    <w:t>运输次数（次/a）</w:t>
                  </w:r>
                </w:p>
              </w:tc>
              <w:tc>
                <w:tcPr>
                  <w:tcW w:w="1134" w:type="dxa"/>
                  <w:vAlign w:val="center"/>
                </w:tcPr>
                <w:p>
                  <w:pPr>
                    <w:jc w:val="center"/>
                    <w:rPr>
                      <w:b/>
                      <w:bCs/>
                      <w:snapToGrid w:val="0"/>
                      <w:kern w:val="0"/>
                    </w:rPr>
                  </w:pPr>
                  <w:r>
                    <w:rPr>
                      <w:rFonts w:hint="eastAsia"/>
                      <w:b/>
                      <w:bCs/>
                      <w:snapToGrid w:val="0"/>
                      <w:kern w:val="0"/>
                    </w:rPr>
                    <w:t>空车起尘量（t/a）</w:t>
                  </w:r>
                </w:p>
              </w:tc>
              <w:tc>
                <w:tcPr>
                  <w:tcW w:w="1134" w:type="dxa"/>
                  <w:vAlign w:val="center"/>
                </w:tcPr>
                <w:p>
                  <w:pPr>
                    <w:jc w:val="center"/>
                    <w:rPr>
                      <w:b/>
                      <w:bCs/>
                      <w:snapToGrid w:val="0"/>
                      <w:kern w:val="0"/>
                    </w:rPr>
                  </w:pPr>
                  <w:r>
                    <w:rPr>
                      <w:rFonts w:hint="eastAsia"/>
                      <w:b/>
                      <w:bCs/>
                      <w:snapToGrid w:val="0"/>
                      <w:kern w:val="0"/>
                    </w:rPr>
                    <w:t>重载车起尘量（t/a）</w:t>
                  </w:r>
                </w:p>
              </w:tc>
              <w:tc>
                <w:tcPr>
                  <w:tcW w:w="1134" w:type="dxa"/>
                  <w:vAlign w:val="center"/>
                </w:tcPr>
                <w:p>
                  <w:pPr>
                    <w:jc w:val="center"/>
                    <w:rPr>
                      <w:b/>
                      <w:bCs/>
                      <w:snapToGrid w:val="0"/>
                      <w:kern w:val="0"/>
                    </w:rPr>
                  </w:pPr>
                  <w:r>
                    <w:rPr>
                      <w:rFonts w:hint="eastAsia"/>
                      <w:b/>
                      <w:bCs/>
                      <w:snapToGrid w:val="0"/>
                      <w:kern w:val="0"/>
                    </w:rP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6" w:hRule="atLeast"/>
              </w:trPr>
              <w:tc>
                <w:tcPr>
                  <w:tcW w:w="1279" w:type="dxa"/>
                  <w:vAlign w:val="center"/>
                </w:tcPr>
                <w:p>
                  <w:pPr>
                    <w:jc w:val="center"/>
                    <w:rPr>
                      <w:snapToGrid w:val="0"/>
                      <w:kern w:val="0"/>
                    </w:rPr>
                  </w:pPr>
                  <w:r>
                    <w:rPr>
                      <w:rFonts w:hint="eastAsia"/>
                      <w:snapToGrid w:val="0"/>
                      <w:kern w:val="0"/>
                    </w:rPr>
                    <w:t>原料运输车</w:t>
                  </w:r>
                </w:p>
              </w:tc>
              <w:tc>
                <w:tcPr>
                  <w:tcW w:w="998" w:type="dxa"/>
                  <w:vAlign w:val="center"/>
                </w:tcPr>
                <w:p>
                  <w:pPr>
                    <w:jc w:val="center"/>
                    <w:rPr>
                      <w:snapToGrid w:val="0"/>
                      <w:kern w:val="0"/>
                    </w:rPr>
                  </w:pPr>
                  <w:r>
                    <w:rPr>
                      <w:rFonts w:hint="eastAsia"/>
                      <w:snapToGrid w:val="0"/>
                      <w:kern w:val="0"/>
                    </w:rPr>
                    <w:t>10</w:t>
                  </w:r>
                </w:p>
              </w:tc>
              <w:tc>
                <w:tcPr>
                  <w:tcW w:w="1123" w:type="dxa"/>
                  <w:vAlign w:val="center"/>
                </w:tcPr>
                <w:p>
                  <w:pPr>
                    <w:jc w:val="center"/>
                    <w:rPr>
                      <w:snapToGrid w:val="0"/>
                      <w:kern w:val="0"/>
                    </w:rPr>
                  </w:pPr>
                  <w:r>
                    <w:rPr>
                      <w:rFonts w:hint="eastAsia"/>
                      <w:snapToGrid w:val="0"/>
                      <w:kern w:val="0"/>
                    </w:rPr>
                    <w:t>45</w:t>
                  </w:r>
                </w:p>
              </w:tc>
              <w:tc>
                <w:tcPr>
                  <w:tcW w:w="1134" w:type="dxa"/>
                  <w:vAlign w:val="center"/>
                </w:tcPr>
                <w:p>
                  <w:pPr>
                    <w:jc w:val="center"/>
                    <w:rPr>
                      <w:rFonts w:hint="eastAsia" w:eastAsia="宋体"/>
                      <w:snapToGrid w:val="0"/>
                      <w:kern w:val="0"/>
                      <w:lang w:val="en-US" w:eastAsia="zh-CN"/>
                    </w:rPr>
                  </w:pPr>
                  <w:r>
                    <w:rPr>
                      <w:rFonts w:hint="eastAsia"/>
                      <w:snapToGrid w:val="0"/>
                      <w:kern w:val="0"/>
                      <w:lang w:val="en-US" w:eastAsia="zh-CN"/>
                    </w:rPr>
                    <w:t>2694</w:t>
                  </w:r>
                </w:p>
              </w:tc>
              <w:tc>
                <w:tcPr>
                  <w:tcW w:w="1134" w:type="dxa"/>
                  <w:vAlign w:val="center"/>
                </w:tcPr>
                <w:p>
                  <w:pPr>
                    <w:jc w:val="center"/>
                    <w:rPr>
                      <w:rFonts w:hint="eastAsia" w:eastAsia="宋体"/>
                      <w:snapToGrid w:val="0"/>
                      <w:kern w:val="0"/>
                      <w:lang w:val="en-US" w:eastAsia="zh-CN"/>
                    </w:rPr>
                  </w:pPr>
                  <w:r>
                    <w:rPr>
                      <w:rFonts w:hint="eastAsia"/>
                      <w:snapToGrid w:val="0"/>
                      <w:kern w:val="0"/>
                    </w:rPr>
                    <w:t>0.04</w:t>
                  </w:r>
                  <w:r>
                    <w:rPr>
                      <w:rFonts w:hint="eastAsia"/>
                      <w:snapToGrid w:val="0"/>
                      <w:kern w:val="0"/>
                      <w:lang w:val="en-US" w:eastAsia="zh-CN"/>
                    </w:rPr>
                    <w:t>5</w:t>
                  </w:r>
                </w:p>
              </w:tc>
              <w:tc>
                <w:tcPr>
                  <w:tcW w:w="1134" w:type="dxa"/>
                  <w:vAlign w:val="center"/>
                </w:tcPr>
                <w:p>
                  <w:pPr>
                    <w:jc w:val="center"/>
                    <w:rPr>
                      <w:rFonts w:hint="eastAsia" w:eastAsia="宋体"/>
                      <w:snapToGrid w:val="0"/>
                      <w:kern w:val="0"/>
                      <w:lang w:val="en-US" w:eastAsia="zh-CN"/>
                    </w:rPr>
                  </w:pPr>
                  <w:r>
                    <w:rPr>
                      <w:rFonts w:hint="eastAsia"/>
                      <w:snapToGrid w:val="0"/>
                      <w:kern w:val="0"/>
                      <w:lang w:val="en-US" w:eastAsia="zh-CN"/>
                    </w:rPr>
                    <w:t>0.169</w:t>
                  </w:r>
                </w:p>
              </w:tc>
              <w:tc>
                <w:tcPr>
                  <w:tcW w:w="1134" w:type="dxa"/>
                  <w:vMerge w:val="restart"/>
                  <w:vAlign w:val="center"/>
                </w:tcPr>
                <w:p>
                  <w:pPr>
                    <w:jc w:val="center"/>
                    <w:rPr>
                      <w:rFonts w:hint="eastAsia" w:eastAsia="宋体"/>
                      <w:snapToGrid w:val="0"/>
                      <w:kern w:val="0"/>
                      <w:lang w:val="en-US" w:eastAsia="zh-CN"/>
                    </w:rPr>
                  </w:pPr>
                  <w:r>
                    <w:rPr>
                      <w:rFonts w:hint="eastAsia"/>
                      <w:snapToGrid w:val="0"/>
                      <w:kern w:val="0"/>
                      <w:lang w:val="en-US" w:eastAsia="zh-CN"/>
                    </w:rPr>
                    <w:t>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1279" w:type="dxa"/>
                  <w:vAlign w:val="center"/>
                </w:tcPr>
                <w:p>
                  <w:pPr>
                    <w:jc w:val="center"/>
                    <w:rPr>
                      <w:snapToGrid w:val="0"/>
                      <w:kern w:val="0"/>
                    </w:rPr>
                  </w:pPr>
                  <w:r>
                    <w:rPr>
                      <w:rFonts w:hint="eastAsia"/>
                      <w:snapToGrid w:val="0"/>
                      <w:kern w:val="0"/>
                    </w:rPr>
                    <w:t>产品运输车</w:t>
                  </w:r>
                </w:p>
              </w:tc>
              <w:tc>
                <w:tcPr>
                  <w:tcW w:w="998" w:type="dxa"/>
                  <w:vAlign w:val="center"/>
                </w:tcPr>
                <w:p>
                  <w:pPr>
                    <w:jc w:val="center"/>
                    <w:rPr>
                      <w:snapToGrid w:val="0"/>
                      <w:kern w:val="0"/>
                    </w:rPr>
                  </w:pPr>
                  <w:r>
                    <w:rPr>
                      <w:rFonts w:hint="eastAsia"/>
                      <w:snapToGrid w:val="0"/>
                      <w:kern w:val="0"/>
                    </w:rPr>
                    <w:t>10</w:t>
                  </w:r>
                </w:p>
              </w:tc>
              <w:tc>
                <w:tcPr>
                  <w:tcW w:w="1123" w:type="dxa"/>
                  <w:vAlign w:val="center"/>
                </w:tcPr>
                <w:p>
                  <w:pPr>
                    <w:jc w:val="center"/>
                    <w:rPr>
                      <w:snapToGrid w:val="0"/>
                      <w:kern w:val="0"/>
                    </w:rPr>
                  </w:pPr>
                  <w:r>
                    <w:rPr>
                      <w:rFonts w:hint="eastAsia"/>
                      <w:snapToGrid w:val="0"/>
                      <w:kern w:val="0"/>
                    </w:rPr>
                    <w:t>45</w:t>
                  </w:r>
                </w:p>
              </w:tc>
              <w:tc>
                <w:tcPr>
                  <w:tcW w:w="1134" w:type="dxa"/>
                  <w:vAlign w:val="center"/>
                </w:tcPr>
                <w:p>
                  <w:pPr>
                    <w:jc w:val="center"/>
                    <w:rPr>
                      <w:snapToGrid w:val="0"/>
                      <w:kern w:val="0"/>
                    </w:rPr>
                  </w:pPr>
                  <w:r>
                    <w:rPr>
                      <w:rFonts w:hint="eastAsia"/>
                      <w:snapToGrid w:val="0"/>
                      <w:kern w:val="0"/>
                    </w:rPr>
                    <w:t>2286</w:t>
                  </w:r>
                </w:p>
              </w:tc>
              <w:tc>
                <w:tcPr>
                  <w:tcW w:w="1134" w:type="dxa"/>
                  <w:vAlign w:val="center"/>
                </w:tcPr>
                <w:p>
                  <w:pPr>
                    <w:jc w:val="center"/>
                    <w:rPr>
                      <w:snapToGrid w:val="0"/>
                      <w:kern w:val="0"/>
                    </w:rPr>
                  </w:pPr>
                  <w:r>
                    <w:rPr>
                      <w:rFonts w:hint="eastAsia"/>
                      <w:snapToGrid w:val="0"/>
                      <w:kern w:val="0"/>
                    </w:rPr>
                    <w:t>0.037</w:t>
                  </w:r>
                </w:p>
              </w:tc>
              <w:tc>
                <w:tcPr>
                  <w:tcW w:w="1134" w:type="dxa"/>
                  <w:vAlign w:val="center"/>
                </w:tcPr>
                <w:p>
                  <w:pPr>
                    <w:jc w:val="center"/>
                    <w:rPr>
                      <w:snapToGrid w:val="0"/>
                      <w:kern w:val="0"/>
                    </w:rPr>
                  </w:pPr>
                  <w:r>
                    <w:rPr>
                      <w:rFonts w:hint="eastAsia"/>
                      <w:snapToGrid w:val="0"/>
                      <w:kern w:val="0"/>
                    </w:rPr>
                    <w:t>0.143</w:t>
                  </w:r>
                </w:p>
              </w:tc>
              <w:tc>
                <w:tcPr>
                  <w:tcW w:w="1134" w:type="dxa"/>
                  <w:vMerge w:val="continue"/>
                  <w:vAlign w:val="center"/>
                </w:tcPr>
                <w:p>
                  <w:pPr>
                    <w:jc w:val="center"/>
                    <w:rPr>
                      <w:snapToGrid w:val="0"/>
                      <w:kern w:val="0"/>
                    </w:rPr>
                  </w:pPr>
                </w:p>
              </w:tc>
            </w:tr>
          </w:tbl>
          <w:p>
            <w:pPr>
              <w:spacing w:line="360" w:lineRule="auto"/>
              <w:ind w:firstLine="482" w:firstLineChars="200"/>
              <w:rPr>
                <w:b/>
                <w:bCs/>
                <w:snapToGrid w:val="0"/>
                <w:kern w:val="0"/>
                <w:sz w:val="24"/>
                <w:u w:val="single"/>
              </w:rPr>
            </w:pPr>
            <w:r>
              <w:rPr>
                <w:rFonts w:hint="eastAsia"/>
                <w:b/>
                <w:bCs/>
                <w:snapToGrid w:val="0"/>
                <w:kern w:val="0"/>
                <w:sz w:val="24"/>
                <w:u w:val="single"/>
              </w:rPr>
              <w:t>为减少厂区道路扬尘对周围环境的影响，评价建议建设单位按照《河南省生态环境厅关于印发河南省工业大气污染防治6个专项方案的通知》（[2019]84号）中“河南省</w:t>
            </w:r>
            <w:r>
              <w:rPr>
                <w:b/>
                <w:bCs/>
                <w:snapToGrid w:val="0"/>
                <w:kern w:val="0"/>
                <w:sz w:val="24"/>
                <w:u w:val="single"/>
              </w:rPr>
              <w:t>2019</w:t>
            </w:r>
            <w:r>
              <w:rPr>
                <w:rFonts w:hint="eastAsia"/>
                <w:b/>
                <w:bCs/>
                <w:snapToGrid w:val="0"/>
                <w:kern w:val="0"/>
                <w:sz w:val="24"/>
                <w:u w:val="single"/>
              </w:rPr>
              <w:t>年工业企业无组织排放治理方案”中要求做到：</w:t>
            </w:r>
          </w:p>
          <w:p>
            <w:pPr>
              <w:spacing w:line="360" w:lineRule="auto"/>
              <w:ind w:firstLine="482" w:firstLineChars="200"/>
              <w:rPr>
                <w:b/>
                <w:bCs/>
                <w:snapToGrid w:val="0"/>
                <w:kern w:val="0"/>
                <w:sz w:val="24"/>
                <w:u w:val="single"/>
              </w:rPr>
            </w:pPr>
            <w:r>
              <w:rPr>
                <w:rFonts w:hint="eastAsia"/>
                <w:b/>
                <w:bCs/>
                <w:snapToGrid w:val="0"/>
                <w:kern w:val="0"/>
                <w:sz w:val="24"/>
                <w:u w:val="single"/>
              </w:rPr>
              <w:t>①厂区道路硬化，并配备专人对厂区及入厂道路定期清扫，防止积尘，加强场地洒水抑尘，以降低扬尘污染；</w:t>
            </w:r>
          </w:p>
          <w:p>
            <w:pPr>
              <w:spacing w:line="360" w:lineRule="auto"/>
              <w:ind w:firstLine="482" w:firstLineChars="200"/>
              <w:rPr>
                <w:b/>
                <w:bCs/>
                <w:snapToGrid w:val="0"/>
                <w:kern w:val="0"/>
                <w:sz w:val="24"/>
                <w:u w:val="single"/>
              </w:rPr>
            </w:pPr>
            <w:r>
              <w:rPr>
                <w:rFonts w:hint="eastAsia"/>
                <w:b/>
                <w:bCs/>
                <w:snapToGrid w:val="0"/>
                <w:kern w:val="0"/>
                <w:sz w:val="24"/>
                <w:u w:val="single"/>
              </w:rPr>
              <w:t>②厂区闲置裸露空地绿化，厂区内无裸露空地；</w:t>
            </w:r>
          </w:p>
          <w:p>
            <w:pPr>
              <w:spacing w:line="360" w:lineRule="auto"/>
              <w:ind w:firstLine="482" w:firstLineChars="200"/>
              <w:rPr>
                <w:b/>
                <w:bCs/>
                <w:snapToGrid w:val="0"/>
                <w:kern w:val="0"/>
                <w:sz w:val="24"/>
                <w:u w:val="single"/>
              </w:rPr>
            </w:pPr>
            <w:r>
              <w:rPr>
                <w:rFonts w:hint="eastAsia"/>
                <w:b/>
                <w:bCs/>
                <w:snapToGrid w:val="0"/>
                <w:kern w:val="0"/>
                <w:sz w:val="24"/>
                <w:u w:val="single"/>
              </w:rPr>
              <w:t>③厂区出厂门口配备高压清洗装置对所有车辆车轮、底盘进行冲洗，严禁带泥上路。洗车平台四周应设置洗车废水收集防治设施。</w:t>
            </w:r>
          </w:p>
          <w:p>
            <w:pPr>
              <w:spacing w:line="360" w:lineRule="auto"/>
              <w:ind w:firstLine="480" w:firstLineChars="200"/>
              <w:rPr>
                <w:snapToGrid w:val="0"/>
                <w:kern w:val="0"/>
                <w:sz w:val="24"/>
              </w:rPr>
            </w:pPr>
            <w:r>
              <w:rPr>
                <w:rFonts w:hint="eastAsia"/>
                <w:snapToGrid w:val="0"/>
                <w:kern w:val="0"/>
                <w:sz w:val="24"/>
              </w:rPr>
              <w:t>采取以上措施后，可使粉尘量降低90%以上，即车辆运输扬尘量约为0.04t/a。</w:t>
            </w:r>
          </w:p>
          <w:p>
            <w:pPr>
              <w:spacing w:line="360" w:lineRule="auto"/>
              <w:ind w:firstLine="482" w:firstLineChars="200"/>
              <w:rPr>
                <w:b/>
                <w:bCs/>
                <w:snapToGrid w:val="0"/>
                <w:kern w:val="0"/>
                <w:sz w:val="24"/>
              </w:rPr>
            </w:pPr>
            <w:r>
              <w:rPr>
                <w:rFonts w:hint="eastAsia"/>
                <w:b/>
                <w:bCs/>
                <w:snapToGrid w:val="0"/>
                <w:kern w:val="0"/>
                <w:sz w:val="24"/>
              </w:rPr>
              <w:t>1.1.4 食堂油烟</w:t>
            </w:r>
          </w:p>
          <w:p>
            <w:pPr>
              <w:spacing w:line="360" w:lineRule="auto"/>
              <w:ind w:firstLine="480" w:firstLineChars="200"/>
              <w:rPr>
                <w:snapToGrid w:val="0"/>
                <w:kern w:val="0"/>
                <w:sz w:val="24"/>
              </w:rPr>
            </w:pPr>
            <w:r>
              <w:rPr>
                <w:rFonts w:hint="eastAsia"/>
                <w:snapToGrid w:val="0"/>
                <w:kern w:val="0"/>
                <w:sz w:val="24"/>
              </w:rPr>
              <w:t>本项目部分员工在厂区食宿。食堂燃料为液化气，液化气为清洁能源，燃烧过程不产生有害气体，因此餐厅产生的废气主要为油烟。根据当地生活习惯，食用油用量按20g/人·d计算，本项目在厂区食宿员工人数为60人，则食用油用量为1.2kg/d、0.3t/a，使用过程中一般油烟挥发量占总耗油量的2-4%，平均为2.83%。食用油耗油量和炸、煎、烧、炒等烹饪工序有较大关系，但本项目的烹饪强度均低于纯餐饮经营单位，因此，本项目油烟挥发量取2.5%，则油烟产生量0.03kg/d、0.0075t/a。本项目拟安装油烟净化器对食堂油烟进行处理。</w:t>
            </w:r>
          </w:p>
          <w:p>
            <w:pPr>
              <w:spacing w:line="360" w:lineRule="auto"/>
              <w:ind w:firstLine="480" w:firstLineChars="200"/>
              <w:rPr>
                <w:snapToGrid w:val="0"/>
                <w:kern w:val="0"/>
                <w:sz w:val="24"/>
              </w:rPr>
            </w:pPr>
            <w:r>
              <w:rPr>
                <w:rFonts w:hint="eastAsia"/>
                <w:snapToGrid w:val="0"/>
                <w:kern w:val="0"/>
                <w:sz w:val="24"/>
              </w:rPr>
              <w:t>油烟净化器的工作原理：油烟由风机吸入静电油烟净化器，其中部分较大的油雾滴、油污颗粒在均流板上由于机械碰撞、阻滞而被捕集。当气流进入高压静电场时，在高压电场的作用下，油烟气体电离，油雾荷电大部分得以降解炭化，少部分微小油粒在吸附电场的电场力及气流作用下向电场的正负极板运动被收集在极板上，并在自身重力的作用下流到集油盘，经排油通道排出，余下的微米级油雾及非甲烷总烃被电场降解成二氧化碳和水，最终排出洁净空气，同时在高压发生器的作用下，电场内的空气产生臭氧，臭氧对非甲烷总烃等有机分子进行分解氧化反应，使有机气体物质降解转化成水和二氧化碳，再通过排风管道排出室外，对油烟去除效率在90%以上。</w:t>
            </w:r>
          </w:p>
          <w:p>
            <w:pPr>
              <w:spacing w:line="360" w:lineRule="auto"/>
              <w:ind w:firstLine="480" w:firstLineChars="200"/>
              <w:rPr>
                <w:snapToGrid w:val="0"/>
                <w:kern w:val="0"/>
                <w:sz w:val="24"/>
              </w:rPr>
            </w:pPr>
            <w:r>
              <w:rPr>
                <w:rFonts w:hint="eastAsia"/>
                <w:snapToGrid w:val="0"/>
                <w:kern w:val="0"/>
                <w:sz w:val="24"/>
              </w:rPr>
              <w:t>根据建设单位提供资料，本项目设置灶头数为2个，根据河南省地方标准《餐饮业油烟污染物排放标准》（DB41/1604-2018），本项目为小型饮食单位，油烟净化器对油烟去除效率取90%，则本项目油烟的排放量为0.003kg/d、0.75kg/a。油烟中污染物含量较低，烟气排放时间较短，经油烟净化器处理后经排气管道引到食堂楼顶（高约6m）高空排放，有利于废气的扩散和稀释。根据河南省地方标准《餐饮业油烟污染物排放标准》（DB41/1604-2018）及建设单位提供资料，油烟净化器的风量为4000m</w:t>
            </w:r>
            <w:r>
              <w:rPr>
                <w:rFonts w:hint="eastAsia"/>
                <w:snapToGrid w:val="0"/>
                <w:kern w:val="0"/>
                <w:sz w:val="24"/>
                <w:vertAlign w:val="superscript"/>
              </w:rPr>
              <w:t>3</w:t>
            </w:r>
            <w:r>
              <w:rPr>
                <w:rFonts w:hint="eastAsia"/>
                <w:snapToGrid w:val="0"/>
                <w:kern w:val="0"/>
                <w:sz w:val="24"/>
              </w:rPr>
              <w:t>/h，油烟净化器工作时间3h/d，则油烟的产生浓度为2.5mg/m</w:t>
            </w:r>
            <w:r>
              <w:rPr>
                <w:rFonts w:hint="eastAsia"/>
                <w:snapToGrid w:val="0"/>
                <w:kern w:val="0"/>
                <w:sz w:val="24"/>
                <w:vertAlign w:val="superscript"/>
              </w:rPr>
              <w:t>3</w:t>
            </w:r>
            <w:r>
              <w:rPr>
                <w:rFonts w:hint="eastAsia"/>
                <w:snapToGrid w:val="0"/>
                <w:kern w:val="0"/>
                <w:sz w:val="24"/>
              </w:rPr>
              <w:t>，去除效率90%， 排放浓度为0.25mg/m</w:t>
            </w:r>
            <w:r>
              <w:rPr>
                <w:rFonts w:hint="eastAsia"/>
                <w:snapToGrid w:val="0"/>
                <w:kern w:val="0"/>
                <w:sz w:val="24"/>
                <w:vertAlign w:val="superscript"/>
              </w:rPr>
              <w:t>3</w:t>
            </w:r>
            <w:r>
              <w:rPr>
                <w:rFonts w:hint="eastAsia"/>
                <w:snapToGrid w:val="0"/>
                <w:kern w:val="0"/>
                <w:sz w:val="24"/>
              </w:rPr>
              <w:t>；食堂油烟废气中油烟排放浓度均满足河南省地方标准《餐饮业油烟污染物排放标准》（DB41/1604-2018）（油烟排放要求最高允许排放浓度1.0mg/m</w:t>
            </w:r>
            <w:r>
              <w:rPr>
                <w:rFonts w:hint="eastAsia"/>
                <w:snapToGrid w:val="0"/>
                <w:kern w:val="0"/>
                <w:sz w:val="24"/>
                <w:vertAlign w:val="superscript"/>
              </w:rPr>
              <w:t>3</w:t>
            </w:r>
            <w:r>
              <w:rPr>
                <w:rFonts w:hint="eastAsia"/>
                <w:snapToGrid w:val="0"/>
                <w:kern w:val="0"/>
                <w:sz w:val="24"/>
              </w:rPr>
              <w:t>）要求。</w:t>
            </w:r>
          </w:p>
          <w:p>
            <w:pPr>
              <w:spacing w:line="360" w:lineRule="auto"/>
              <w:ind w:firstLine="482" w:firstLineChars="200"/>
              <w:rPr>
                <w:b/>
                <w:bCs/>
                <w:snapToGrid w:val="0"/>
                <w:kern w:val="0"/>
                <w:sz w:val="24"/>
              </w:rPr>
            </w:pPr>
            <w:r>
              <w:rPr>
                <w:rFonts w:hint="eastAsia"/>
                <w:b/>
                <w:bCs/>
                <w:snapToGrid w:val="0"/>
                <w:kern w:val="0"/>
                <w:sz w:val="24"/>
              </w:rPr>
              <w:t>1.1.5本项目废气产排情况汇总</w:t>
            </w:r>
          </w:p>
          <w:p>
            <w:pPr>
              <w:spacing w:line="360" w:lineRule="auto"/>
              <w:ind w:firstLine="480" w:firstLineChars="200"/>
              <w:rPr>
                <w:snapToGrid w:val="0"/>
                <w:kern w:val="0"/>
                <w:sz w:val="24"/>
              </w:rPr>
            </w:pPr>
            <w:r>
              <w:rPr>
                <w:rFonts w:hint="eastAsia"/>
                <w:snapToGrid w:val="0"/>
                <w:kern w:val="0"/>
                <w:sz w:val="24"/>
              </w:rPr>
              <w:t>本项目废气产排情况汇总见下表。</w:t>
            </w:r>
          </w:p>
          <w:p>
            <w:pPr>
              <w:pStyle w:val="44"/>
              <w:spacing w:line="360" w:lineRule="auto"/>
              <w:rPr>
                <w:rFonts w:eastAsia="宋体"/>
                <w:sz w:val="24"/>
                <w:szCs w:val="24"/>
              </w:rPr>
            </w:pPr>
            <w:r>
              <w:rPr>
                <w:rFonts w:hint="eastAsia" w:eastAsia="宋体"/>
                <w:sz w:val="24"/>
                <w:szCs w:val="24"/>
              </w:rPr>
              <w:t>表4-</w:t>
            </w:r>
            <w:r>
              <w:rPr>
                <w:rFonts w:hint="eastAsia" w:eastAsia="宋体"/>
                <w:sz w:val="24"/>
                <w:szCs w:val="24"/>
                <w:lang w:val="en-US" w:eastAsia="zh-CN"/>
              </w:rPr>
              <w:t>10</w:t>
            </w:r>
            <w:r>
              <w:rPr>
                <w:rFonts w:eastAsia="宋体"/>
                <w:sz w:val="24"/>
                <w:szCs w:val="24"/>
              </w:rPr>
              <w:t xml:space="preserve">    </w:t>
            </w:r>
            <w:r>
              <w:rPr>
                <w:rFonts w:hint="eastAsia" w:eastAsia="宋体"/>
                <w:sz w:val="24"/>
                <w:szCs w:val="24"/>
              </w:rPr>
              <w:t>本项目运营期废气产排情况一览表</w:t>
            </w:r>
          </w:p>
          <w:tbl>
            <w:tblPr>
              <w:tblStyle w:val="26"/>
              <w:tblW w:w="7936"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
              <w:gridCol w:w="606"/>
              <w:gridCol w:w="825"/>
              <w:gridCol w:w="675"/>
              <w:gridCol w:w="638"/>
              <w:gridCol w:w="812"/>
              <w:gridCol w:w="1175"/>
              <w:gridCol w:w="713"/>
              <w:gridCol w:w="725"/>
              <w:gridCol w:w="731"/>
              <w:gridCol w:w="71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27" w:type="dxa"/>
                  <w:gridSpan w:val="2"/>
                  <w:vMerge w:val="restart"/>
                  <w:vAlign w:val="center"/>
                </w:tcPr>
                <w:p>
                  <w:pPr>
                    <w:pStyle w:val="63"/>
                    <w:kinsoku w:val="0"/>
                    <w:overflowPunct w:val="0"/>
                    <w:snapToGrid w:val="0"/>
                    <w:jc w:val="center"/>
                    <w:rPr>
                      <w:b/>
                      <w:bCs/>
                      <w:kern w:val="2"/>
                      <w:sz w:val="18"/>
                      <w:szCs w:val="18"/>
                    </w:rPr>
                  </w:pPr>
                  <w:r>
                    <w:rPr>
                      <w:rFonts w:hint="eastAsia"/>
                      <w:b/>
                      <w:bCs/>
                      <w:kern w:val="2"/>
                      <w:sz w:val="18"/>
                      <w:szCs w:val="18"/>
                    </w:rPr>
                    <w:t>污染源</w:t>
                  </w:r>
                </w:p>
              </w:tc>
              <w:tc>
                <w:tcPr>
                  <w:tcW w:w="825" w:type="dxa"/>
                  <w:vMerge w:val="restart"/>
                  <w:vAlign w:val="center"/>
                </w:tcPr>
                <w:p>
                  <w:pPr>
                    <w:pStyle w:val="63"/>
                    <w:kinsoku w:val="0"/>
                    <w:overflowPunct w:val="0"/>
                    <w:snapToGrid w:val="0"/>
                    <w:jc w:val="center"/>
                    <w:rPr>
                      <w:b/>
                      <w:bCs/>
                      <w:kern w:val="2"/>
                      <w:sz w:val="18"/>
                      <w:szCs w:val="18"/>
                    </w:rPr>
                  </w:pPr>
                  <w:r>
                    <w:rPr>
                      <w:rFonts w:hint="eastAsia"/>
                      <w:b/>
                      <w:bCs/>
                      <w:kern w:val="2"/>
                      <w:sz w:val="18"/>
                      <w:szCs w:val="18"/>
                    </w:rPr>
                    <w:t>污染</w:t>
                  </w:r>
                </w:p>
                <w:p>
                  <w:pPr>
                    <w:pStyle w:val="63"/>
                    <w:kinsoku w:val="0"/>
                    <w:overflowPunct w:val="0"/>
                    <w:snapToGrid w:val="0"/>
                    <w:jc w:val="center"/>
                    <w:rPr>
                      <w:b/>
                      <w:bCs/>
                      <w:kern w:val="2"/>
                      <w:sz w:val="18"/>
                      <w:szCs w:val="18"/>
                    </w:rPr>
                  </w:pPr>
                  <w:r>
                    <w:rPr>
                      <w:rFonts w:hint="eastAsia"/>
                      <w:b/>
                      <w:bCs/>
                      <w:kern w:val="2"/>
                      <w:sz w:val="18"/>
                      <w:szCs w:val="18"/>
                    </w:rPr>
                    <w:t>因子</w:t>
                  </w:r>
                </w:p>
              </w:tc>
              <w:tc>
                <w:tcPr>
                  <w:tcW w:w="2125" w:type="dxa"/>
                  <w:gridSpan w:val="3"/>
                  <w:vAlign w:val="center"/>
                </w:tcPr>
                <w:p>
                  <w:pPr>
                    <w:pStyle w:val="63"/>
                    <w:kinsoku w:val="0"/>
                    <w:overflowPunct w:val="0"/>
                    <w:snapToGrid w:val="0"/>
                    <w:jc w:val="center"/>
                    <w:rPr>
                      <w:b/>
                      <w:bCs/>
                      <w:kern w:val="2"/>
                      <w:sz w:val="18"/>
                      <w:szCs w:val="18"/>
                    </w:rPr>
                  </w:pPr>
                  <w:r>
                    <w:rPr>
                      <w:rFonts w:hint="eastAsia"/>
                      <w:b/>
                      <w:bCs/>
                      <w:kern w:val="2"/>
                      <w:sz w:val="18"/>
                      <w:szCs w:val="18"/>
                    </w:rPr>
                    <w:t>污染物产生情况</w:t>
                  </w:r>
                </w:p>
              </w:tc>
              <w:tc>
                <w:tcPr>
                  <w:tcW w:w="1888" w:type="dxa"/>
                  <w:gridSpan w:val="2"/>
                  <w:vMerge w:val="restart"/>
                  <w:vAlign w:val="center"/>
                </w:tcPr>
                <w:p>
                  <w:pPr>
                    <w:pStyle w:val="63"/>
                    <w:kinsoku w:val="0"/>
                    <w:overflowPunct w:val="0"/>
                    <w:snapToGrid w:val="0"/>
                    <w:jc w:val="center"/>
                    <w:rPr>
                      <w:b/>
                      <w:bCs/>
                      <w:kern w:val="2"/>
                      <w:sz w:val="18"/>
                      <w:szCs w:val="18"/>
                    </w:rPr>
                  </w:pPr>
                  <w:r>
                    <w:rPr>
                      <w:rFonts w:hint="eastAsia"/>
                      <w:b/>
                      <w:bCs/>
                      <w:kern w:val="2"/>
                      <w:sz w:val="18"/>
                      <w:szCs w:val="18"/>
                    </w:rPr>
                    <w:t>治理措施</w:t>
                  </w:r>
                </w:p>
              </w:tc>
              <w:tc>
                <w:tcPr>
                  <w:tcW w:w="2171" w:type="dxa"/>
                  <w:gridSpan w:val="3"/>
                  <w:vAlign w:val="center"/>
                </w:tcPr>
                <w:p>
                  <w:pPr>
                    <w:pStyle w:val="63"/>
                    <w:kinsoku w:val="0"/>
                    <w:overflowPunct w:val="0"/>
                    <w:snapToGrid w:val="0"/>
                    <w:jc w:val="center"/>
                    <w:rPr>
                      <w:b/>
                      <w:bCs/>
                      <w:kern w:val="2"/>
                      <w:sz w:val="18"/>
                      <w:szCs w:val="18"/>
                    </w:rPr>
                  </w:pPr>
                  <w:r>
                    <w:rPr>
                      <w:rFonts w:hint="eastAsia"/>
                      <w:b/>
                      <w:bCs/>
                      <w:kern w:val="2"/>
                      <w:sz w:val="18"/>
                      <w:szCs w:val="18"/>
                    </w:rPr>
                    <w:t>污染物排放情况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927" w:type="dxa"/>
                  <w:gridSpan w:val="2"/>
                  <w:vMerge w:val="continue"/>
                  <w:vAlign w:val="center"/>
                </w:tcPr>
                <w:p>
                  <w:pPr>
                    <w:widowControl/>
                    <w:jc w:val="center"/>
                    <w:rPr>
                      <w:b/>
                      <w:bCs/>
                      <w:sz w:val="18"/>
                      <w:szCs w:val="18"/>
                    </w:rPr>
                  </w:pPr>
                </w:p>
              </w:tc>
              <w:tc>
                <w:tcPr>
                  <w:tcW w:w="825" w:type="dxa"/>
                  <w:vMerge w:val="continue"/>
                  <w:vAlign w:val="center"/>
                </w:tcPr>
                <w:p>
                  <w:pPr>
                    <w:widowControl/>
                    <w:jc w:val="center"/>
                    <w:rPr>
                      <w:b/>
                      <w:bCs/>
                      <w:sz w:val="18"/>
                      <w:szCs w:val="18"/>
                    </w:rPr>
                  </w:pPr>
                </w:p>
              </w:tc>
              <w:tc>
                <w:tcPr>
                  <w:tcW w:w="675" w:type="dxa"/>
                  <w:vAlign w:val="center"/>
                </w:tcPr>
                <w:p>
                  <w:pPr>
                    <w:pStyle w:val="63"/>
                    <w:kinsoku w:val="0"/>
                    <w:overflowPunct w:val="0"/>
                    <w:snapToGrid w:val="0"/>
                    <w:jc w:val="center"/>
                    <w:rPr>
                      <w:b/>
                      <w:bCs/>
                      <w:kern w:val="2"/>
                      <w:sz w:val="18"/>
                      <w:szCs w:val="18"/>
                    </w:rPr>
                  </w:pPr>
                  <w:r>
                    <w:rPr>
                      <w:rFonts w:hint="eastAsia"/>
                      <w:b/>
                      <w:bCs/>
                      <w:kern w:val="2"/>
                      <w:sz w:val="18"/>
                      <w:szCs w:val="18"/>
                    </w:rPr>
                    <w:t>产生量</w:t>
                  </w:r>
                  <w:r>
                    <w:rPr>
                      <w:b/>
                      <w:bCs/>
                      <w:kern w:val="2"/>
                      <w:sz w:val="18"/>
                      <w:szCs w:val="18"/>
                    </w:rPr>
                    <w:t>t/a</w:t>
                  </w:r>
                </w:p>
              </w:tc>
              <w:tc>
                <w:tcPr>
                  <w:tcW w:w="638" w:type="dxa"/>
                  <w:vAlign w:val="center"/>
                </w:tcPr>
                <w:p>
                  <w:pPr>
                    <w:pStyle w:val="63"/>
                    <w:kinsoku w:val="0"/>
                    <w:overflowPunct w:val="0"/>
                    <w:snapToGrid w:val="0"/>
                    <w:jc w:val="center"/>
                    <w:rPr>
                      <w:b/>
                      <w:bCs/>
                      <w:kern w:val="2"/>
                      <w:sz w:val="18"/>
                      <w:szCs w:val="18"/>
                    </w:rPr>
                  </w:pPr>
                  <w:r>
                    <w:rPr>
                      <w:rFonts w:hint="eastAsia"/>
                      <w:b/>
                      <w:bCs/>
                      <w:kern w:val="2"/>
                      <w:sz w:val="18"/>
                      <w:szCs w:val="18"/>
                    </w:rPr>
                    <w:t>产生</w:t>
                  </w:r>
                </w:p>
                <w:p>
                  <w:pPr>
                    <w:pStyle w:val="63"/>
                    <w:kinsoku w:val="0"/>
                    <w:overflowPunct w:val="0"/>
                    <w:snapToGrid w:val="0"/>
                    <w:jc w:val="center"/>
                    <w:rPr>
                      <w:b/>
                      <w:bCs/>
                      <w:kern w:val="2"/>
                      <w:sz w:val="18"/>
                      <w:szCs w:val="18"/>
                    </w:rPr>
                  </w:pPr>
                  <w:r>
                    <w:rPr>
                      <w:rFonts w:hint="eastAsia"/>
                      <w:b/>
                      <w:bCs/>
                      <w:kern w:val="2"/>
                      <w:sz w:val="18"/>
                      <w:szCs w:val="18"/>
                    </w:rPr>
                    <w:t>速率</w:t>
                  </w:r>
                  <w:r>
                    <w:rPr>
                      <w:b/>
                      <w:bCs/>
                      <w:kern w:val="2"/>
                      <w:sz w:val="18"/>
                      <w:szCs w:val="18"/>
                    </w:rPr>
                    <w:t>kg/h</w:t>
                  </w:r>
                </w:p>
              </w:tc>
              <w:tc>
                <w:tcPr>
                  <w:tcW w:w="812" w:type="dxa"/>
                  <w:vAlign w:val="center"/>
                </w:tcPr>
                <w:p>
                  <w:pPr>
                    <w:pStyle w:val="63"/>
                    <w:kinsoku w:val="0"/>
                    <w:overflowPunct w:val="0"/>
                    <w:snapToGrid w:val="0"/>
                    <w:jc w:val="center"/>
                    <w:rPr>
                      <w:b/>
                      <w:bCs/>
                      <w:kern w:val="2"/>
                      <w:sz w:val="18"/>
                      <w:szCs w:val="18"/>
                    </w:rPr>
                  </w:pPr>
                  <w:r>
                    <w:rPr>
                      <w:rFonts w:hint="eastAsia"/>
                      <w:b/>
                      <w:bCs/>
                      <w:kern w:val="2"/>
                      <w:sz w:val="18"/>
                      <w:szCs w:val="18"/>
                    </w:rPr>
                    <w:t>产生</w:t>
                  </w:r>
                </w:p>
                <w:p>
                  <w:pPr>
                    <w:pStyle w:val="63"/>
                    <w:kinsoku w:val="0"/>
                    <w:overflowPunct w:val="0"/>
                    <w:snapToGrid w:val="0"/>
                    <w:jc w:val="center"/>
                    <w:rPr>
                      <w:b/>
                      <w:bCs/>
                      <w:kern w:val="2"/>
                      <w:sz w:val="18"/>
                      <w:szCs w:val="18"/>
                    </w:rPr>
                  </w:pPr>
                  <w:r>
                    <w:rPr>
                      <w:rFonts w:hint="eastAsia"/>
                      <w:b/>
                      <w:bCs/>
                      <w:kern w:val="2"/>
                      <w:sz w:val="18"/>
                      <w:szCs w:val="18"/>
                    </w:rPr>
                    <w:t>浓度</w:t>
                  </w:r>
                  <w:r>
                    <w:rPr>
                      <w:b/>
                      <w:bCs/>
                      <w:kern w:val="2"/>
                      <w:sz w:val="18"/>
                      <w:szCs w:val="18"/>
                    </w:rPr>
                    <w:t>mg/m</w:t>
                  </w:r>
                  <w:r>
                    <w:rPr>
                      <w:b/>
                      <w:bCs/>
                      <w:kern w:val="2"/>
                      <w:sz w:val="18"/>
                      <w:szCs w:val="18"/>
                      <w:vertAlign w:val="superscript"/>
                    </w:rPr>
                    <w:t>3</w:t>
                  </w:r>
                </w:p>
              </w:tc>
              <w:tc>
                <w:tcPr>
                  <w:tcW w:w="1888" w:type="dxa"/>
                  <w:gridSpan w:val="2"/>
                  <w:vMerge w:val="continue"/>
                  <w:vAlign w:val="center"/>
                </w:tcPr>
                <w:p>
                  <w:pPr>
                    <w:widowControl/>
                    <w:jc w:val="center"/>
                    <w:rPr>
                      <w:b/>
                      <w:bCs/>
                      <w:sz w:val="18"/>
                      <w:szCs w:val="18"/>
                    </w:rPr>
                  </w:pPr>
                </w:p>
              </w:tc>
              <w:tc>
                <w:tcPr>
                  <w:tcW w:w="725" w:type="dxa"/>
                  <w:vAlign w:val="center"/>
                </w:tcPr>
                <w:p>
                  <w:pPr>
                    <w:pStyle w:val="63"/>
                    <w:kinsoku w:val="0"/>
                    <w:overflowPunct w:val="0"/>
                    <w:snapToGrid w:val="0"/>
                    <w:jc w:val="center"/>
                    <w:rPr>
                      <w:b/>
                      <w:bCs/>
                      <w:kern w:val="2"/>
                      <w:sz w:val="18"/>
                      <w:szCs w:val="18"/>
                    </w:rPr>
                  </w:pPr>
                  <w:r>
                    <w:rPr>
                      <w:rFonts w:hint="eastAsia"/>
                      <w:b/>
                      <w:bCs/>
                      <w:kern w:val="2"/>
                      <w:sz w:val="18"/>
                      <w:szCs w:val="18"/>
                    </w:rPr>
                    <w:t>排放量</w:t>
                  </w:r>
                  <w:r>
                    <w:rPr>
                      <w:b/>
                      <w:bCs/>
                      <w:kern w:val="2"/>
                      <w:sz w:val="18"/>
                      <w:szCs w:val="18"/>
                    </w:rPr>
                    <w:t>t/a</w:t>
                  </w:r>
                </w:p>
              </w:tc>
              <w:tc>
                <w:tcPr>
                  <w:tcW w:w="731" w:type="dxa"/>
                  <w:vAlign w:val="center"/>
                </w:tcPr>
                <w:p>
                  <w:pPr>
                    <w:pStyle w:val="63"/>
                    <w:kinsoku w:val="0"/>
                    <w:overflowPunct w:val="0"/>
                    <w:snapToGrid w:val="0"/>
                    <w:jc w:val="center"/>
                    <w:rPr>
                      <w:b/>
                      <w:bCs/>
                      <w:kern w:val="2"/>
                      <w:sz w:val="18"/>
                      <w:szCs w:val="18"/>
                    </w:rPr>
                  </w:pPr>
                  <w:r>
                    <w:rPr>
                      <w:rFonts w:hint="eastAsia"/>
                      <w:b/>
                      <w:bCs/>
                      <w:kern w:val="2"/>
                      <w:sz w:val="18"/>
                      <w:szCs w:val="18"/>
                    </w:rPr>
                    <w:t>排放</w:t>
                  </w:r>
                </w:p>
                <w:p>
                  <w:pPr>
                    <w:pStyle w:val="63"/>
                    <w:kinsoku w:val="0"/>
                    <w:overflowPunct w:val="0"/>
                    <w:snapToGrid w:val="0"/>
                    <w:jc w:val="center"/>
                    <w:rPr>
                      <w:b/>
                      <w:bCs/>
                      <w:kern w:val="2"/>
                      <w:sz w:val="18"/>
                      <w:szCs w:val="18"/>
                    </w:rPr>
                  </w:pPr>
                  <w:r>
                    <w:rPr>
                      <w:rFonts w:hint="eastAsia"/>
                      <w:b/>
                      <w:bCs/>
                      <w:kern w:val="2"/>
                      <w:sz w:val="18"/>
                      <w:szCs w:val="18"/>
                    </w:rPr>
                    <w:t>速率</w:t>
                  </w:r>
                  <w:r>
                    <w:rPr>
                      <w:b/>
                      <w:bCs/>
                      <w:kern w:val="2"/>
                      <w:sz w:val="18"/>
                      <w:szCs w:val="18"/>
                    </w:rPr>
                    <w:t>kg/h</w:t>
                  </w:r>
                </w:p>
              </w:tc>
              <w:tc>
                <w:tcPr>
                  <w:tcW w:w="715" w:type="dxa"/>
                  <w:vAlign w:val="center"/>
                </w:tcPr>
                <w:p>
                  <w:pPr>
                    <w:pStyle w:val="63"/>
                    <w:kinsoku w:val="0"/>
                    <w:overflowPunct w:val="0"/>
                    <w:snapToGrid w:val="0"/>
                    <w:jc w:val="center"/>
                    <w:rPr>
                      <w:b/>
                      <w:bCs/>
                      <w:kern w:val="2"/>
                      <w:sz w:val="18"/>
                      <w:szCs w:val="18"/>
                    </w:rPr>
                  </w:pPr>
                  <w:r>
                    <w:rPr>
                      <w:rFonts w:hint="eastAsia"/>
                      <w:b/>
                      <w:bCs/>
                      <w:kern w:val="2"/>
                      <w:sz w:val="18"/>
                      <w:szCs w:val="18"/>
                    </w:rPr>
                    <w:t>排放</w:t>
                  </w:r>
                </w:p>
                <w:p>
                  <w:pPr>
                    <w:pStyle w:val="63"/>
                    <w:kinsoku w:val="0"/>
                    <w:overflowPunct w:val="0"/>
                    <w:snapToGrid w:val="0"/>
                    <w:jc w:val="center"/>
                    <w:rPr>
                      <w:b/>
                      <w:bCs/>
                      <w:kern w:val="2"/>
                      <w:sz w:val="18"/>
                      <w:szCs w:val="18"/>
                    </w:rPr>
                  </w:pPr>
                  <w:r>
                    <w:rPr>
                      <w:rFonts w:hint="eastAsia"/>
                      <w:b/>
                      <w:bCs/>
                      <w:kern w:val="2"/>
                      <w:sz w:val="18"/>
                      <w:szCs w:val="18"/>
                    </w:rPr>
                    <w:t>浓度</w:t>
                  </w:r>
                  <w:r>
                    <w:rPr>
                      <w:b/>
                      <w:bCs/>
                      <w:kern w:val="2"/>
                      <w:sz w:val="18"/>
                      <w:szCs w:val="18"/>
                    </w:rPr>
                    <w:t>mg/m</w:t>
                  </w:r>
                  <w:r>
                    <w:rPr>
                      <w:b/>
                      <w:bCs/>
                      <w:kern w:val="2"/>
                      <w:sz w:val="18"/>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restart"/>
                  <w:vAlign w:val="center"/>
                </w:tcPr>
                <w:p>
                  <w:pPr>
                    <w:pStyle w:val="63"/>
                    <w:kinsoku w:val="0"/>
                    <w:overflowPunct w:val="0"/>
                    <w:snapToGrid w:val="0"/>
                    <w:jc w:val="center"/>
                    <w:rPr>
                      <w:kern w:val="2"/>
                      <w:sz w:val="18"/>
                      <w:szCs w:val="18"/>
                    </w:rPr>
                  </w:pPr>
                  <w:r>
                    <w:rPr>
                      <w:rFonts w:hint="eastAsia"/>
                      <w:kern w:val="2"/>
                      <w:sz w:val="18"/>
                      <w:szCs w:val="18"/>
                    </w:rPr>
                    <w:t>有组织废气</w:t>
                  </w:r>
                </w:p>
              </w:tc>
              <w:tc>
                <w:tcPr>
                  <w:tcW w:w="606" w:type="dxa"/>
                  <w:vAlign w:val="center"/>
                </w:tcPr>
                <w:p>
                  <w:pPr>
                    <w:snapToGrid w:val="0"/>
                    <w:jc w:val="center"/>
                    <w:rPr>
                      <w:snapToGrid w:val="0"/>
                      <w:kern w:val="0"/>
                      <w:sz w:val="18"/>
                      <w:szCs w:val="18"/>
                    </w:rPr>
                  </w:pPr>
                  <w:r>
                    <w:rPr>
                      <w:rFonts w:hint="eastAsia"/>
                      <w:snapToGrid w:val="0"/>
                      <w:kern w:val="0"/>
                      <w:sz w:val="18"/>
                      <w:szCs w:val="18"/>
                    </w:rPr>
                    <w:t>上料工序</w:t>
                  </w:r>
                </w:p>
              </w:tc>
              <w:tc>
                <w:tcPr>
                  <w:tcW w:w="825" w:type="dxa"/>
                  <w:vAlign w:val="center"/>
                </w:tcPr>
                <w:p>
                  <w:pPr>
                    <w:snapToGrid w:val="0"/>
                    <w:jc w:val="center"/>
                    <w:rPr>
                      <w:snapToGrid w:val="0"/>
                      <w:kern w:val="0"/>
                      <w:sz w:val="18"/>
                      <w:szCs w:val="18"/>
                    </w:rPr>
                  </w:pPr>
                  <w:r>
                    <w:rPr>
                      <w:rFonts w:hint="eastAsia"/>
                      <w:snapToGrid w:val="0"/>
                      <w:kern w:val="0"/>
                      <w:sz w:val="18"/>
                      <w:szCs w:val="18"/>
                    </w:rPr>
                    <w:t>颗粒物</w:t>
                  </w:r>
                </w:p>
              </w:tc>
              <w:tc>
                <w:tcPr>
                  <w:tcW w:w="67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4.24</w:t>
                  </w:r>
                </w:p>
              </w:tc>
              <w:tc>
                <w:tcPr>
                  <w:tcW w:w="638"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2.12</w:t>
                  </w:r>
                </w:p>
              </w:tc>
              <w:tc>
                <w:tcPr>
                  <w:tcW w:w="812"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265</w:t>
                  </w:r>
                </w:p>
              </w:tc>
              <w:tc>
                <w:tcPr>
                  <w:tcW w:w="1175" w:type="dxa"/>
                  <w:vAlign w:val="center"/>
                </w:tcPr>
                <w:p>
                  <w:pPr>
                    <w:snapToGrid w:val="0"/>
                    <w:jc w:val="center"/>
                    <w:rPr>
                      <w:snapToGrid w:val="0"/>
                      <w:kern w:val="0"/>
                      <w:sz w:val="18"/>
                      <w:szCs w:val="18"/>
                    </w:rPr>
                  </w:pPr>
                  <w:r>
                    <w:rPr>
                      <w:rFonts w:hint="eastAsia"/>
                      <w:snapToGrid w:val="0"/>
                      <w:kern w:val="0"/>
                      <w:sz w:val="18"/>
                      <w:szCs w:val="18"/>
                    </w:rPr>
                    <w:t>集气罩+1</w:t>
                  </w:r>
                  <w:r>
                    <w:rPr>
                      <w:rFonts w:hint="eastAsia"/>
                      <w:snapToGrid w:val="0"/>
                      <w:kern w:val="0"/>
                      <w:sz w:val="18"/>
                      <w:szCs w:val="18"/>
                      <w:lang w:eastAsia="zh-CN"/>
                    </w:rPr>
                    <w:t>套</w:t>
                  </w:r>
                  <w:r>
                    <w:rPr>
                      <w:rFonts w:hint="eastAsia"/>
                      <w:snapToGrid w:val="0"/>
                      <w:kern w:val="0"/>
                      <w:sz w:val="18"/>
                      <w:szCs w:val="18"/>
                    </w:rPr>
                    <w:t>袋式除尘器（1#）</w:t>
                  </w:r>
                </w:p>
              </w:tc>
              <w:tc>
                <w:tcPr>
                  <w:tcW w:w="713" w:type="dxa"/>
                  <w:vMerge w:val="restart"/>
                  <w:vAlign w:val="center"/>
                </w:tcPr>
                <w:p>
                  <w:pPr>
                    <w:snapToGrid w:val="0"/>
                    <w:jc w:val="center"/>
                    <w:rPr>
                      <w:snapToGrid w:val="0"/>
                      <w:kern w:val="0"/>
                      <w:sz w:val="18"/>
                      <w:szCs w:val="18"/>
                    </w:rPr>
                  </w:pPr>
                  <w:r>
                    <w:rPr>
                      <w:rFonts w:hint="eastAsia"/>
                      <w:sz w:val="18"/>
                      <w:szCs w:val="18"/>
                      <w:lang w:val="en-US" w:eastAsia="zh-CN"/>
                    </w:rPr>
                    <w:t>15m高</w:t>
                  </w:r>
                  <w:r>
                    <w:rPr>
                      <w:rFonts w:hint="eastAsia"/>
                      <w:sz w:val="18"/>
                      <w:szCs w:val="18"/>
                    </w:rPr>
                    <w:t>排气筒（DA001）排放</w:t>
                  </w:r>
                </w:p>
              </w:tc>
              <w:tc>
                <w:tcPr>
                  <w:tcW w:w="72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0.042</w:t>
                  </w:r>
                </w:p>
              </w:tc>
              <w:tc>
                <w:tcPr>
                  <w:tcW w:w="731" w:type="dxa"/>
                  <w:vAlign w:val="center"/>
                </w:tcPr>
                <w:p>
                  <w:pPr>
                    <w:snapToGrid w:val="0"/>
                    <w:jc w:val="center"/>
                    <w:rPr>
                      <w:snapToGrid w:val="0"/>
                      <w:kern w:val="0"/>
                      <w:sz w:val="18"/>
                      <w:szCs w:val="18"/>
                    </w:rPr>
                  </w:pPr>
                  <w:r>
                    <w:rPr>
                      <w:rFonts w:hint="eastAsia"/>
                      <w:snapToGrid w:val="0"/>
                      <w:kern w:val="0"/>
                      <w:sz w:val="18"/>
                      <w:szCs w:val="18"/>
                    </w:rPr>
                    <w:t>0.021</w:t>
                  </w:r>
                </w:p>
              </w:tc>
              <w:tc>
                <w:tcPr>
                  <w:tcW w:w="71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2.63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pStyle w:val="63"/>
                    <w:kinsoku w:val="0"/>
                    <w:overflowPunct w:val="0"/>
                    <w:snapToGrid w:val="0"/>
                    <w:jc w:val="center"/>
                    <w:rPr>
                      <w:kern w:val="2"/>
                      <w:sz w:val="18"/>
                      <w:szCs w:val="18"/>
                    </w:rPr>
                  </w:pPr>
                </w:p>
              </w:tc>
              <w:tc>
                <w:tcPr>
                  <w:tcW w:w="606" w:type="dxa"/>
                  <w:vAlign w:val="center"/>
                </w:tcPr>
                <w:p>
                  <w:pPr>
                    <w:pStyle w:val="63"/>
                    <w:kinsoku w:val="0"/>
                    <w:overflowPunct w:val="0"/>
                    <w:snapToGrid w:val="0"/>
                    <w:jc w:val="center"/>
                    <w:rPr>
                      <w:kern w:val="2"/>
                      <w:sz w:val="18"/>
                      <w:szCs w:val="18"/>
                    </w:rPr>
                  </w:pPr>
                  <w:r>
                    <w:rPr>
                      <w:rFonts w:hint="eastAsia"/>
                      <w:kern w:val="2"/>
                      <w:sz w:val="18"/>
                      <w:szCs w:val="18"/>
                    </w:rPr>
                    <w:t>破碎工序</w:t>
                  </w: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颗粒物</w:t>
                  </w:r>
                </w:p>
              </w:tc>
              <w:tc>
                <w:tcPr>
                  <w:tcW w:w="675"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lang w:val="en-US" w:eastAsia="zh-CN"/>
                    </w:rPr>
                    <w:t>21.15</w:t>
                  </w:r>
                </w:p>
              </w:tc>
              <w:tc>
                <w:tcPr>
                  <w:tcW w:w="638"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lang w:val="en-US" w:eastAsia="zh-CN"/>
                    </w:rPr>
                    <w:t>10.58</w:t>
                  </w:r>
                </w:p>
              </w:tc>
              <w:tc>
                <w:tcPr>
                  <w:tcW w:w="812"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lang w:val="en-US" w:eastAsia="zh-CN"/>
                    </w:rPr>
                    <w:t>881.25</w:t>
                  </w:r>
                </w:p>
              </w:tc>
              <w:tc>
                <w:tcPr>
                  <w:tcW w:w="1175" w:type="dxa"/>
                  <w:vAlign w:val="center"/>
                </w:tcPr>
                <w:p>
                  <w:pPr>
                    <w:widowControl/>
                    <w:jc w:val="center"/>
                    <w:rPr>
                      <w:sz w:val="18"/>
                      <w:szCs w:val="18"/>
                    </w:rPr>
                  </w:pPr>
                  <w:r>
                    <w:rPr>
                      <w:rFonts w:hint="eastAsia"/>
                      <w:sz w:val="18"/>
                      <w:szCs w:val="18"/>
                    </w:rPr>
                    <w:t>集气罩+1套袋式除尘器（2#）</w:t>
                  </w:r>
                </w:p>
              </w:tc>
              <w:tc>
                <w:tcPr>
                  <w:tcW w:w="713" w:type="dxa"/>
                  <w:vMerge w:val="continue"/>
                  <w:vAlign w:val="center"/>
                </w:tcPr>
                <w:p>
                  <w:pPr>
                    <w:widowControl/>
                    <w:jc w:val="center"/>
                    <w:rPr>
                      <w:sz w:val="18"/>
                      <w:szCs w:val="18"/>
                    </w:rPr>
                  </w:pPr>
                </w:p>
              </w:tc>
              <w:tc>
                <w:tcPr>
                  <w:tcW w:w="72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rPr>
                    <w:t>0.2</w:t>
                  </w:r>
                  <w:r>
                    <w:rPr>
                      <w:rFonts w:hint="eastAsia"/>
                      <w:snapToGrid w:val="0"/>
                      <w:kern w:val="0"/>
                      <w:sz w:val="18"/>
                      <w:szCs w:val="18"/>
                      <w:lang w:val="en-US" w:eastAsia="zh-CN"/>
                    </w:rPr>
                    <w:t>1</w:t>
                  </w:r>
                </w:p>
              </w:tc>
              <w:tc>
                <w:tcPr>
                  <w:tcW w:w="731"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rPr>
                    <w:t>0.1</w:t>
                  </w:r>
                  <w:r>
                    <w:rPr>
                      <w:rFonts w:hint="eastAsia"/>
                      <w:kern w:val="2"/>
                      <w:sz w:val="18"/>
                      <w:szCs w:val="18"/>
                      <w:lang w:val="en-US" w:eastAsia="zh-CN"/>
                    </w:rPr>
                    <w:t>1</w:t>
                  </w:r>
                </w:p>
              </w:tc>
              <w:tc>
                <w:tcPr>
                  <w:tcW w:w="71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95" w:hRule="atLeast"/>
                <w:jc w:val="center"/>
              </w:trPr>
              <w:tc>
                <w:tcPr>
                  <w:tcW w:w="321" w:type="dxa"/>
                  <w:vMerge w:val="continue"/>
                  <w:vAlign w:val="center"/>
                </w:tcPr>
                <w:p>
                  <w:pPr>
                    <w:pStyle w:val="63"/>
                    <w:kinsoku w:val="0"/>
                    <w:overflowPunct w:val="0"/>
                    <w:snapToGrid w:val="0"/>
                    <w:jc w:val="center"/>
                    <w:rPr>
                      <w:kern w:val="2"/>
                      <w:sz w:val="18"/>
                      <w:szCs w:val="18"/>
                    </w:rPr>
                  </w:pPr>
                </w:p>
              </w:tc>
              <w:tc>
                <w:tcPr>
                  <w:tcW w:w="606" w:type="dxa"/>
                  <w:vMerge w:val="restart"/>
                  <w:vAlign w:val="center"/>
                </w:tcPr>
                <w:p>
                  <w:pPr>
                    <w:pStyle w:val="63"/>
                    <w:kinsoku w:val="0"/>
                    <w:overflowPunct w:val="0"/>
                    <w:snapToGrid w:val="0"/>
                    <w:jc w:val="center"/>
                    <w:rPr>
                      <w:kern w:val="2"/>
                      <w:sz w:val="18"/>
                      <w:szCs w:val="18"/>
                    </w:rPr>
                  </w:pPr>
                  <w:r>
                    <w:rPr>
                      <w:rFonts w:hint="eastAsia"/>
                      <w:kern w:val="2"/>
                      <w:sz w:val="18"/>
                      <w:szCs w:val="18"/>
                    </w:rPr>
                    <w:t>烘干工序</w:t>
                  </w: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颗粒物</w:t>
                  </w:r>
                </w:p>
              </w:tc>
              <w:tc>
                <w:tcPr>
                  <w:tcW w:w="675"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rPr>
                    <w:t>32.4</w:t>
                  </w:r>
                  <w:r>
                    <w:rPr>
                      <w:rFonts w:hint="eastAsia"/>
                      <w:kern w:val="2"/>
                      <w:sz w:val="18"/>
                      <w:szCs w:val="18"/>
                      <w:lang w:val="en-US" w:eastAsia="zh-CN"/>
                    </w:rPr>
                    <w:t>2</w:t>
                  </w:r>
                </w:p>
              </w:tc>
              <w:tc>
                <w:tcPr>
                  <w:tcW w:w="638"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rPr>
                    <w:t>16.2</w:t>
                  </w:r>
                  <w:r>
                    <w:rPr>
                      <w:rFonts w:hint="eastAsia"/>
                      <w:kern w:val="2"/>
                      <w:sz w:val="18"/>
                      <w:szCs w:val="18"/>
                      <w:lang w:val="en-US" w:eastAsia="zh-CN"/>
                    </w:rPr>
                    <w:t>1</w:t>
                  </w:r>
                </w:p>
              </w:tc>
              <w:tc>
                <w:tcPr>
                  <w:tcW w:w="812"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lang w:val="en-US" w:eastAsia="zh-CN"/>
                    </w:rPr>
                    <w:t>1671.52</w:t>
                  </w:r>
                </w:p>
              </w:tc>
              <w:tc>
                <w:tcPr>
                  <w:tcW w:w="1175" w:type="dxa"/>
                  <w:vMerge w:val="restart"/>
                  <w:vAlign w:val="center"/>
                </w:tcPr>
                <w:p>
                  <w:pPr>
                    <w:widowControl/>
                    <w:jc w:val="center"/>
                    <w:rPr>
                      <w:sz w:val="18"/>
                      <w:szCs w:val="18"/>
                    </w:rPr>
                  </w:pPr>
                  <w:r>
                    <w:rPr>
                      <w:rFonts w:hint="eastAsia"/>
                      <w:sz w:val="18"/>
                      <w:szCs w:val="18"/>
                      <w:lang w:val="en-US" w:eastAsia="zh-CN"/>
                    </w:rPr>
                    <w:t>2级旋风除尘器（1#、2#）+</w:t>
                  </w:r>
                  <w:r>
                    <w:rPr>
                      <w:rFonts w:hint="eastAsia"/>
                      <w:sz w:val="18"/>
                      <w:szCs w:val="18"/>
                    </w:rPr>
                    <w:t>2级袋式除尘器（3#、4#）</w:t>
                  </w:r>
                </w:p>
              </w:tc>
              <w:tc>
                <w:tcPr>
                  <w:tcW w:w="713" w:type="dxa"/>
                  <w:vMerge w:val="restart"/>
                  <w:vAlign w:val="center"/>
                </w:tcPr>
                <w:p>
                  <w:pPr>
                    <w:widowControl/>
                    <w:jc w:val="center"/>
                    <w:rPr>
                      <w:rFonts w:hint="eastAsia"/>
                      <w:sz w:val="18"/>
                      <w:szCs w:val="18"/>
                    </w:rPr>
                  </w:pPr>
                  <w:r>
                    <w:rPr>
                      <w:rFonts w:hint="eastAsia"/>
                      <w:sz w:val="18"/>
                      <w:szCs w:val="18"/>
                    </w:rPr>
                    <w:t>15m高的排气筒（DA002）排放</w:t>
                  </w:r>
                </w:p>
              </w:tc>
              <w:tc>
                <w:tcPr>
                  <w:tcW w:w="72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0.013</w:t>
                  </w:r>
                </w:p>
              </w:tc>
              <w:tc>
                <w:tcPr>
                  <w:tcW w:w="731"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lang w:val="en-US" w:eastAsia="zh-CN"/>
                    </w:rPr>
                    <w:t>0.0065</w:t>
                  </w:r>
                </w:p>
              </w:tc>
              <w:tc>
                <w:tcPr>
                  <w:tcW w:w="715" w:type="dxa"/>
                  <w:vAlign w:val="center"/>
                </w:tcPr>
                <w:p>
                  <w:pPr>
                    <w:snapToGrid w:val="0"/>
                    <w:jc w:val="center"/>
                    <w:rPr>
                      <w:rFonts w:hint="eastAsia" w:eastAsia="宋体"/>
                      <w:snapToGrid w:val="0"/>
                      <w:kern w:val="0"/>
                      <w:sz w:val="18"/>
                      <w:szCs w:val="18"/>
                      <w:lang w:val="en-US" w:eastAsia="zh-CN"/>
                    </w:rPr>
                  </w:pPr>
                  <w:r>
                    <w:rPr>
                      <w:rFonts w:hint="eastAsia"/>
                      <w:snapToGrid w:val="0"/>
                      <w:kern w:val="0"/>
                      <w:sz w:val="18"/>
                      <w:szCs w:val="18"/>
                      <w:lang w:val="en-US" w:eastAsia="zh-CN"/>
                    </w:rPr>
                    <w:t>0.67</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620" w:hRule="atLeast"/>
                <w:jc w:val="center"/>
              </w:trPr>
              <w:tc>
                <w:tcPr>
                  <w:tcW w:w="321" w:type="dxa"/>
                  <w:vMerge w:val="continue"/>
                  <w:vAlign w:val="center"/>
                </w:tcPr>
                <w:p>
                  <w:pPr>
                    <w:pStyle w:val="63"/>
                    <w:kinsoku w:val="0"/>
                    <w:overflowPunct w:val="0"/>
                    <w:snapToGrid w:val="0"/>
                    <w:jc w:val="center"/>
                    <w:rPr>
                      <w:kern w:val="2"/>
                      <w:sz w:val="18"/>
                      <w:szCs w:val="18"/>
                    </w:rPr>
                  </w:pPr>
                </w:p>
              </w:tc>
              <w:tc>
                <w:tcPr>
                  <w:tcW w:w="606" w:type="dxa"/>
                  <w:vMerge w:val="continue"/>
                  <w:vAlign w:val="center"/>
                </w:tcPr>
                <w:p>
                  <w:pPr>
                    <w:pStyle w:val="63"/>
                    <w:kinsoku w:val="0"/>
                    <w:overflowPunct w:val="0"/>
                    <w:snapToGrid w:val="0"/>
                    <w:jc w:val="center"/>
                    <w:rPr>
                      <w:kern w:val="2"/>
                      <w:sz w:val="18"/>
                      <w:szCs w:val="18"/>
                    </w:rPr>
                  </w:pP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SO</w:t>
                  </w:r>
                  <w:r>
                    <w:rPr>
                      <w:rFonts w:hint="eastAsia"/>
                      <w:kern w:val="2"/>
                      <w:sz w:val="18"/>
                      <w:szCs w:val="18"/>
                      <w:vertAlign w:val="subscript"/>
                    </w:rPr>
                    <w:t>2</w:t>
                  </w:r>
                </w:p>
              </w:tc>
              <w:tc>
                <w:tcPr>
                  <w:tcW w:w="675" w:type="dxa"/>
                  <w:vAlign w:val="center"/>
                </w:tcPr>
                <w:p>
                  <w:pPr>
                    <w:pStyle w:val="63"/>
                    <w:kinsoku w:val="0"/>
                    <w:overflowPunct w:val="0"/>
                    <w:snapToGrid w:val="0"/>
                    <w:jc w:val="center"/>
                    <w:rPr>
                      <w:kern w:val="2"/>
                      <w:sz w:val="18"/>
                      <w:szCs w:val="18"/>
                    </w:rPr>
                  </w:pPr>
                  <w:r>
                    <w:rPr>
                      <w:rFonts w:hint="eastAsia"/>
                      <w:kern w:val="2"/>
                      <w:sz w:val="18"/>
                      <w:szCs w:val="18"/>
                    </w:rPr>
                    <w:t>0.36</w:t>
                  </w:r>
                </w:p>
              </w:tc>
              <w:tc>
                <w:tcPr>
                  <w:tcW w:w="638" w:type="dxa"/>
                  <w:vAlign w:val="center"/>
                </w:tcPr>
                <w:p>
                  <w:pPr>
                    <w:pStyle w:val="63"/>
                    <w:kinsoku w:val="0"/>
                    <w:overflowPunct w:val="0"/>
                    <w:snapToGrid w:val="0"/>
                    <w:jc w:val="center"/>
                    <w:rPr>
                      <w:kern w:val="2"/>
                      <w:sz w:val="18"/>
                      <w:szCs w:val="18"/>
                    </w:rPr>
                  </w:pPr>
                  <w:r>
                    <w:rPr>
                      <w:rFonts w:hint="eastAsia"/>
                      <w:kern w:val="2"/>
                      <w:sz w:val="18"/>
                      <w:szCs w:val="18"/>
                    </w:rPr>
                    <w:t>0.18</w:t>
                  </w:r>
                </w:p>
              </w:tc>
              <w:tc>
                <w:tcPr>
                  <w:tcW w:w="812" w:type="dxa"/>
                  <w:vAlign w:val="center"/>
                </w:tcPr>
                <w:p>
                  <w:pPr>
                    <w:pStyle w:val="63"/>
                    <w:kinsoku w:val="0"/>
                    <w:overflowPunct w:val="0"/>
                    <w:snapToGrid w:val="0"/>
                    <w:jc w:val="center"/>
                    <w:rPr>
                      <w:kern w:val="2"/>
                      <w:sz w:val="18"/>
                      <w:szCs w:val="18"/>
                    </w:rPr>
                  </w:pPr>
                  <w:r>
                    <w:rPr>
                      <w:rFonts w:hint="eastAsia"/>
                      <w:kern w:val="2"/>
                      <w:sz w:val="18"/>
                      <w:szCs w:val="18"/>
                    </w:rPr>
                    <w:t>18.56</w:t>
                  </w:r>
                </w:p>
              </w:tc>
              <w:tc>
                <w:tcPr>
                  <w:tcW w:w="1175" w:type="dxa"/>
                  <w:vMerge w:val="continue"/>
                  <w:vAlign w:val="center"/>
                </w:tcPr>
                <w:p>
                  <w:pPr>
                    <w:widowControl/>
                    <w:jc w:val="center"/>
                    <w:rPr>
                      <w:sz w:val="18"/>
                      <w:szCs w:val="18"/>
                    </w:rPr>
                  </w:pPr>
                </w:p>
              </w:tc>
              <w:tc>
                <w:tcPr>
                  <w:tcW w:w="713" w:type="dxa"/>
                  <w:vMerge w:val="continue"/>
                  <w:vAlign w:val="center"/>
                </w:tcPr>
                <w:p>
                  <w:pPr>
                    <w:widowControl/>
                    <w:jc w:val="center"/>
                    <w:rPr>
                      <w:sz w:val="18"/>
                      <w:szCs w:val="18"/>
                    </w:rPr>
                  </w:pPr>
                </w:p>
              </w:tc>
              <w:tc>
                <w:tcPr>
                  <w:tcW w:w="725" w:type="dxa"/>
                  <w:vAlign w:val="center"/>
                </w:tcPr>
                <w:p>
                  <w:pPr>
                    <w:snapToGrid w:val="0"/>
                    <w:jc w:val="center"/>
                    <w:rPr>
                      <w:snapToGrid w:val="0"/>
                      <w:kern w:val="0"/>
                      <w:sz w:val="18"/>
                      <w:szCs w:val="18"/>
                    </w:rPr>
                  </w:pPr>
                  <w:r>
                    <w:rPr>
                      <w:rFonts w:hint="eastAsia"/>
                      <w:snapToGrid w:val="0"/>
                      <w:kern w:val="0"/>
                      <w:sz w:val="18"/>
                      <w:szCs w:val="18"/>
                    </w:rPr>
                    <w:t>0.36</w:t>
                  </w:r>
                </w:p>
              </w:tc>
              <w:tc>
                <w:tcPr>
                  <w:tcW w:w="731" w:type="dxa"/>
                  <w:vAlign w:val="center"/>
                </w:tcPr>
                <w:p>
                  <w:pPr>
                    <w:pStyle w:val="63"/>
                    <w:kinsoku w:val="0"/>
                    <w:overflowPunct w:val="0"/>
                    <w:snapToGrid w:val="0"/>
                    <w:jc w:val="center"/>
                    <w:rPr>
                      <w:kern w:val="2"/>
                      <w:sz w:val="18"/>
                      <w:szCs w:val="18"/>
                    </w:rPr>
                  </w:pPr>
                  <w:r>
                    <w:rPr>
                      <w:rFonts w:hint="eastAsia"/>
                      <w:kern w:val="2"/>
                      <w:sz w:val="18"/>
                      <w:szCs w:val="18"/>
                    </w:rPr>
                    <w:t>0.18</w:t>
                  </w:r>
                </w:p>
              </w:tc>
              <w:tc>
                <w:tcPr>
                  <w:tcW w:w="715" w:type="dxa"/>
                  <w:vAlign w:val="center"/>
                </w:tcPr>
                <w:p>
                  <w:pPr>
                    <w:snapToGrid w:val="0"/>
                    <w:jc w:val="center"/>
                    <w:rPr>
                      <w:snapToGrid w:val="0"/>
                      <w:kern w:val="0"/>
                      <w:sz w:val="18"/>
                      <w:szCs w:val="18"/>
                    </w:rPr>
                  </w:pPr>
                  <w:r>
                    <w:rPr>
                      <w:rFonts w:hint="eastAsia"/>
                      <w:snapToGrid w:val="0"/>
                      <w:kern w:val="0"/>
                      <w:sz w:val="18"/>
                      <w:szCs w:val="18"/>
                    </w:rPr>
                    <w:t>18.56</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pStyle w:val="63"/>
                    <w:kinsoku w:val="0"/>
                    <w:overflowPunct w:val="0"/>
                    <w:snapToGrid w:val="0"/>
                    <w:jc w:val="center"/>
                    <w:rPr>
                      <w:kern w:val="2"/>
                      <w:sz w:val="18"/>
                      <w:szCs w:val="18"/>
                    </w:rPr>
                  </w:pPr>
                </w:p>
              </w:tc>
              <w:tc>
                <w:tcPr>
                  <w:tcW w:w="606" w:type="dxa"/>
                  <w:vMerge w:val="continue"/>
                  <w:vAlign w:val="center"/>
                </w:tcPr>
                <w:p>
                  <w:pPr>
                    <w:pStyle w:val="63"/>
                    <w:kinsoku w:val="0"/>
                    <w:overflowPunct w:val="0"/>
                    <w:snapToGrid w:val="0"/>
                    <w:jc w:val="center"/>
                    <w:rPr>
                      <w:kern w:val="2"/>
                      <w:sz w:val="18"/>
                      <w:szCs w:val="18"/>
                    </w:rPr>
                  </w:pP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NOx</w:t>
                  </w:r>
                </w:p>
              </w:tc>
              <w:tc>
                <w:tcPr>
                  <w:tcW w:w="675" w:type="dxa"/>
                  <w:vAlign w:val="center"/>
                </w:tcPr>
                <w:p>
                  <w:pPr>
                    <w:pStyle w:val="63"/>
                    <w:kinsoku w:val="0"/>
                    <w:overflowPunct w:val="0"/>
                    <w:snapToGrid w:val="0"/>
                    <w:jc w:val="center"/>
                    <w:rPr>
                      <w:kern w:val="2"/>
                      <w:sz w:val="18"/>
                      <w:szCs w:val="18"/>
                    </w:rPr>
                  </w:pPr>
                  <w:r>
                    <w:rPr>
                      <w:rFonts w:hint="eastAsia"/>
                      <w:kern w:val="2"/>
                      <w:sz w:val="18"/>
                      <w:szCs w:val="18"/>
                    </w:rPr>
                    <w:t>1.25</w:t>
                  </w:r>
                </w:p>
              </w:tc>
              <w:tc>
                <w:tcPr>
                  <w:tcW w:w="638" w:type="dxa"/>
                  <w:vAlign w:val="center"/>
                </w:tcPr>
                <w:p>
                  <w:pPr>
                    <w:pStyle w:val="63"/>
                    <w:kinsoku w:val="0"/>
                    <w:overflowPunct w:val="0"/>
                    <w:snapToGrid w:val="0"/>
                    <w:jc w:val="center"/>
                    <w:rPr>
                      <w:kern w:val="2"/>
                      <w:sz w:val="18"/>
                      <w:szCs w:val="18"/>
                    </w:rPr>
                  </w:pPr>
                  <w:r>
                    <w:rPr>
                      <w:rFonts w:hint="eastAsia"/>
                      <w:kern w:val="2"/>
                      <w:sz w:val="18"/>
                      <w:szCs w:val="18"/>
                    </w:rPr>
                    <w:t>0.63</w:t>
                  </w:r>
                </w:p>
              </w:tc>
              <w:tc>
                <w:tcPr>
                  <w:tcW w:w="812" w:type="dxa"/>
                  <w:vAlign w:val="center"/>
                </w:tcPr>
                <w:p>
                  <w:pPr>
                    <w:pStyle w:val="63"/>
                    <w:kinsoku w:val="0"/>
                    <w:overflowPunct w:val="0"/>
                    <w:snapToGrid w:val="0"/>
                    <w:jc w:val="center"/>
                    <w:rPr>
                      <w:kern w:val="2"/>
                      <w:sz w:val="18"/>
                      <w:szCs w:val="18"/>
                    </w:rPr>
                  </w:pPr>
                  <w:r>
                    <w:rPr>
                      <w:rFonts w:hint="eastAsia"/>
                      <w:kern w:val="2"/>
                      <w:sz w:val="18"/>
                      <w:szCs w:val="18"/>
                    </w:rPr>
                    <w:t>64.68</w:t>
                  </w:r>
                </w:p>
              </w:tc>
              <w:tc>
                <w:tcPr>
                  <w:tcW w:w="1175" w:type="dxa"/>
                  <w:vMerge w:val="continue"/>
                  <w:vAlign w:val="center"/>
                </w:tcPr>
                <w:p>
                  <w:pPr>
                    <w:widowControl/>
                    <w:jc w:val="center"/>
                    <w:rPr>
                      <w:sz w:val="18"/>
                      <w:szCs w:val="18"/>
                    </w:rPr>
                  </w:pPr>
                </w:p>
              </w:tc>
              <w:tc>
                <w:tcPr>
                  <w:tcW w:w="713" w:type="dxa"/>
                  <w:vMerge w:val="continue"/>
                  <w:vAlign w:val="center"/>
                </w:tcPr>
                <w:p>
                  <w:pPr>
                    <w:widowControl/>
                    <w:jc w:val="center"/>
                    <w:rPr>
                      <w:sz w:val="18"/>
                      <w:szCs w:val="18"/>
                    </w:rPr>
                  </w:pPr>
                </w:p>
              </w:tc>
              <w:tc>
                <w:tcPr>
                  <w:tcW w:w="725" w:type="dxa"/>
                  <w:vAlign w:val="center"/>
                </w:tcPr>
                <w:p>
                  <w:pPr>
                    <w:snapToGrid w:val="0"/>
                    <w:jc w:val="center"/>
                    <w:rPr>
                      <w:snapToGrid w:val="0"/>
                      <w:kern w:val="0"/>
                      <w:sz w:val="18"/>
                      <w:szCs w:val="18"/>
                    </w:rPr>
                  </w:pPr>
                  <w:r>
                    <w:rPr>
                      <w:rFonts w:hint="eastAsia"/>
                      <w:snapToGrid w:val="0"/>
                      <w:kern w:val="0"/>
                      <w:sz w:val="18"/>
                      <w:szCs w:val="18"/>
                    </w:rPr>
                    <w:t>1.25</w:t>
                  </w:r>
                </w:p>
              </w:tc>
              <w:tc>
                <w:tcPr>
                  <w:tcW w:w="731" w:type="dxa"/>
                  <w:vAlign w:val="center"/>
                </w:tcPr>
                <w:p>
                  <w:pPr>
                    <w:pStyle w:val="63"/>
                    <w:kinsoku w:val="0"/>
                    <w:overflowPunct w:val="0"/>
                    <w:snapToGrid w:val="0"/>
                    <w:jc w:val="center"/>
                    <w:rPr>
                      <w:kern w:val="2"/>
                      <w:sz w:val="18"/>
                      <w:szCs w:val="18"/>
                    </w:rPr>
                  </w:pPr>
                  <w:r>
                    <w:rPr>
                      <w:rFonts w:hint="eastAsia"/>
                      <w:kern w:val="2"/>
                      <w:sz w:val="18"/>
                      <w:szCs w:val="18"/>
                    </w:rPr>
                    <w:t>0.63</w:t>
                  </w:r>
                </w:p>
              </w:tc>
              <w:tc>
                <w:tcPr>
                  <w:tcW w:w="715" w:type="dxa"/>
                  <w:vAlign w:val="center"/>
                </w:tcPr>
                <w:p>
                  <w:pPr>
                    <w:snapToGrid w:val="0"/>
                    <w:jc w:val="center"/>
                    <w:rPr>
                      <w:snapToGrid w:val="0"/>
                      <w:kern w:val="0"/>
                      <w:sz w:val="18"/>
                      <w:szCs w:val="18"/>
                    </w:rPr>
                  </w:pPr>
                  <w:r>
                    <w:rPr>
                      <w:rFonts w:hint="eastAsia"/>
                      <w:snapToGrid w:val="0"/>
                      <w:kern w:val="0"/>
                      <w:sz w:val="18"/>
                      <w:szCs w:val="18"/>
                    </w:rPr>
                    <w:t>64.68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pStyle w:val="63"/>
                    <w:kinsoku w:val="0"/>
                    <w:overflowPunct w:val="0"/>
                    <w:snapToGrid w:val="0"/>
                    <w:jc w:val="center"/>
                    <w:rPr>
                      <w:kern w:val="2"/>
                      <w:sz w:val="18"/>
                      <w:szCs w:val="18"/>
                    </w:rPr>
                  </w:pPr>
                </w:p>
              </w:tc>
              <w:tc>
                <w:tcPr>
                  <w:tcW w:w="606" w:type="dxa"/>
                  <w:vAlign w:val="center"/>
                </w:tcPr>
                <w:p>
                  <w:pPr>
                    <w:pStyle w:val="63"/>
                    <w:kinsoku w:val="0"/>
                    <w:overflowPunct w:val="0"/>
                    <w:snapToGrid w:val="0"/>
                    <w:jc w:val="center"/>
                    <w:rPr>
                      <w:rFonts w:hint="eastAsia" w:eastAsia="宋体"/>
                      <w:b/>
                      <w:bCs/>
                      <w:kern w:val="2"/>
                      <w:sz w:val="18"/>
                      <w:szCs w:val="18"/>
                      <w:u w:val="single"/>
                      <w:lang w:eastAsia="zh-CN"/>
                    </w:rPr>
                  </w:pPr>
                  <w:r>
                    <w:rPr>
                      <w:rFonts w:hint="eastAsia"/>
                      <w:b/>
                      <w:bCs/>
                      <w:kern w:val="2"/>
                      <w:sz w:val="18"/>
                      <w:szCs w:val="18"/>
                      <w:u w:val="single"/>
                      <w:lang w:eastAsia="zh-CN"/>
                    </w:rPr>
                    <w:t>成品料仓</w:t>
                  </w:r>
                </w:p>
              </w:tc>
              <w:tc>
                <w:tcPr>
                  <w:tcW w:w="825" w:type="dxa"/>
                  <w:vAlign w:val="center"/>
                </w:tcPr>
                <w:p>
                  <w:pPr>
                    <w:pStyle w:val="63"/>
                    <w:kinsoku w:val="0"/>
                    <w:overflowPunct w:val="0"/>
                    <w:snapToGrid w:val="0"/>
                    <w:jc w:val="center"/>
                    <w:rPr>
                      <w:rFonts w:hint="eastAsia" w:eastAsia="宋体"/>
                      <w:b/>
                      <w:bCs/>
                      <w:kern w:val="2"/>
                      <w:sz w:val="18"/>
                      <w:szCs w:val="18"/>
                      <w:u w:val="single"/>
                      <w:lang w:eastAsia="zh-CN"/>
                    </w:rPr>
                  </w:pPr>
                  <w:r>
                    <w:rPr>
                      <w:rFonts w:hint="eastAsia"/>
                      <w:b/>
                      <w:bCs/>
                      <w:kern w:val="2"/>
                      <w:sz w:val="18"/>
                      <w:szCs w:val="18"/>
                      <w:u w:val="single"/>
                      <w:lang w:eastAsia="zh-CN"/>
                    </w:rPr>
                    <w:t>颗粒物</w:t>
                  </w:r>
                </w:p>
              </w:tc>
              <w:tc>
                <w:tcPr>
                  <w:tcW w:w="675"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10.4</w:t>
                  </w:r>
                </w:p>
              </w:tc>
              <w:tc>
                <w:tcPr>
                  <w:tcW w:w="638"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5.2</w:t>
                  </w:r>
                </w:p>
              </w:tc>
              <w:tc>
                <w:tcPr>
                  <w:tcW w:w="812"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6500</w:t>
                  </w:r>
                </w:p>
              </w:tc>
              <w:tc>
                <w:tcPr>
                  <w:tcW w:w="1175" w:type="dxa"/>
                  <w:vAlign w:val="center"/>
                </w:tcPr>
                <w:p>
                  <w:pPr>
                    <w:widowControl/>
                    <w:jc w:val="center"/>
                    <w:rPr>
                      <w:rFonts w:hint="default" w:eastAsia="宋体"/>
                      <w:b/>
                      <w:bCs/>
                      <w:sz w:val="18"/>
                      <w:szCs w:val="18"/>
                      <w:u w:val="single"/>
                      <w:lang w:val="en-US" w:eastAsia="zh-CN"/>
                    </w:rPr>
                  </w:pPr>
                  <w:r>
                    <w:rPr>
                      <w:rFonts w:hint="eastAsia"/>
                      <w:b/>
                      <w:bCs/>
                      <w:sz w:val="18"/>
                      <w:szCs w:val="18"/>
                      <w:u w:val="single"/>
                      <w:lang w:val="en-US" w:eastAsia="zh-CN"/>
                    </w:rPr>
                    <w:t>3个成品仓，共3套袋式除尘器（5#、6#、7#）</w:t>
                  </w:r>
                </w:p>
              </w:tc>
              <w:tc>
                <w:tcPr>
                  <w:tcW w:w="713" w:type="dxa"/>
                  <w:vMerge w:val="restart"/>
                  <w:vAlign w:val="center"/>
                </w:tcPr>
                <w:p>
                  <w:pPr>
                    <w:widowControl/>
                    <w:jc w:val="center"/>
                    <w:rPr>
                      <w:sz w:val="18"/>
                      <w:szCs w:val="18"/>
                    </w:rPr>
                  </w:pPr>
                  <w:r>
                    <w:rPr>
                      <w:rFonts w:hint="eastAsia"/>
                      <w:b/>
                      <w:bCs/>
                      <w:sz w:val="18"/>
                      <w:szCs w:val="18"/>
                      <w:u w:val="single"/>
                    </w:rPr>
                    <w:t>15m高的排气筒（DA00</w:t>
                  </w:r>
                  <w:r>
                    <w:rPr>
                      <w:rFonts w:hint="eastAsia"/>
                      <w:b/>
                      <w:bCs/>
                      <w:sz w:val="18"/>
                      <w:szCs w:val="18"/>
                      <w:u w:val="single"/>
                      <w:lang w:val="en-US" w:eastAsia="zh-CN"/>
                    </w:rPr>
                    <w:t>3</w:t>
                  </w:r>
                  <w:r>
                    <w:rPr>
                      <w:rFonts w:hint="eastAsia"/>
                      <w:b/>
                      <w:bCs/>
                      <w:sz w:val="18"/>
                      <w:szCs w:val="18"/>
                      <w:u w:val="single"/>
                    </w:rPr>
                    <w:t>）排放</w:t>
                  </w:r>
                </w:p>
              </w:tc>
              <w:tc>
                <w:tcPr>
                  <w:tcW w:w="725" w:type="dxa"/>
                  <w:vAlign w:val="center"/>
                </w:tcPr>
                <w:p>
                  <w:pPr>
                    <w:snapToGrid w:val="0"/>
                    <w:jc w:val="center"/>
                    <w:rPr>
                      <w:rFonts w:hint="eastAsia" w:eastAsia="宋体"/>
                      <w:b/>
                      <w:bCs/>
                      <w:snapToGrid w:val="0"/>
                      <w:kern w:val="0"/>
                      <w:sz w:val="18"/>
                      <w:szCs w:val="18"/>
                      <w:u w:val="single"/>
                      <w:lang w:val="en-US" w:eastAsia="zh-CN"/>
                    </w:rPr>
                  </w:pPr>
                  <w:r>
                    <w:rPr>
                      <w:rFonts w:hint="eastAsia"/>
                      <w:b/>
                      <w:bCs/>
                      <w:snapToGrid w:val="0"/>
                      <w:kern w:val="0"/>
                      <w:sz w:val="18"/>
                      <w:szCs w:val="18"/>
                      <w:u w:val="single"/>
                      <w:lang w:val="en-US" w:eastAsia="zh-CN"/>
                    </w:rPr>
                    <w:t>0.0104</w:t>
                  </w:r>
                </w:p>
              </w:tc>
              <w:tc>
                <w:tcPr>
                  <w:tcW w:w="731"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0.0052</w:t>
                  </w:r>
                </w:p>
              </w:tc>
              <w:tc>
                <w:tcPr>
                  <w:tcW w:w="715" w:type="dxa"/>
                  <w:vAlign w:val="center"/>
                </w:tcPr>
                <w:p>
                  <w:pPr>
                    <w:snapToGrid w:val="0"/>
                    <w:jc w:val="center"/>
                    <w:rPr>
                      <w:rFonts w:hint="eastAsia" w:eastAsia="宋体"/>
                      <w:b/>
                      <w:bCs/>
                      <w:snapToGrid w:val="0"/>
                      <w:kern w:val="0"/>
                      <w:sz w:val="18"/>
                      <w:szCs w:val="18"/>
                      <w:u w:val="single"/>
                      <w:lang w:val="en-US" w:eastAsia="zh-CN"/>
                    </w:rPr>
                  </w:pPr>
                  <w:r>
                    <w:rPr>
                      <w:rFonts w:hint="eastAsia"/>
                      <w:b/>
                      <w:bCs/>
                      <w:snapToGrid w:val="0"/>
                      <w:kern w:val="0"/>
                      <w:sz w:val="18"/>
                      <w:szCs w:val="18"/>
                      <w:u w:val="single"/>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pStyle w:val="63"/>
                    <w:kinsoku w:val="0"/>
                    <w:overflowPunct w:val="0"/>
                    <w:snapToGrid w:val="0"/>
                    <w:jc w:val="center"/>
                    <w:rPr>
                      <w:kern w:val="2"/>
                      <w:sz w:val="18"/>
                      <w:szCs w:val="18"/>
                    </w:rPr>
                  </w:pPr>
                </w:p>
              </w:tc>
              <w:tc>
                <w:tcPr>
                  <w:tcW w:w="606" w:type="dxa"/>
                  <w:vAlign w:val="center"/>
                </w:tcPr>
                <w:p>
                  <w:pPr>
                    <w:pStyle w:val="63"/>
                    <w:kinsoku w:val="0"/>
                    <w:overflowPunct w:val="0"/>
                    <w:snapToGrid w:val="0"/>
                    <w:jc w:val="center"/>
                    <w:rPr>
                      <w:rFonts w:hint="eastAsia" w:eastAsia="宋体"/>
                      <w:b/>
                      <w:bCs/>
                      <w:kern w:val="2"/>
                      <w:sz w:val="18"/>
                      <w:szCs w:val="18"/>
                      <w:u w:val="single"/>
                      <w:lang w:eastAsia="zh-CN"/>
                    </w:rPr>
                  </w:pPr>
                  <w:r>
                    <w:rPr>
                      <w:rFonts w:hint="eastAsia"/>
                      <w:b/>
                      <w:bCs/>
                      <w:kern w:val="2"/>
                      <w:sz w:val="18"/>
                      <w:szCs w:val="18"/>
                      <w:u w:val="single"/>
                      <w:lang w:eastAsia="zh-CN"/>
                    </w:rPr>
                    <w:t>包装工序</w:t>
                  </w:r>
                </w:p>
              </w:tc>
              <w:tc>
                <w:tcPr>
                  <w:tcW w:w="825" w:type="dxa"/>
                  <w:vAlign w:val="center"/>
                </w:tcPr>
                <w:p>
                  <w:pPr>
                    <w:pStyle w:val="63"/>
                    <w:kinsoku w:val="0"/>
                    <w:overflowPunct w:val="0"/>
                    <w:snapToGrid w:val="0"/>
                    <w:jc w:val="center"/>
                    <w:rPr>
                      <w:rFonts w:hint="eastAsia" w:eastAsia="宋体"/>
                      <w:b/>
                      <w:bCs/>
                      <w:kern w:val="2"/>
                      <w:sz w:val="18"/>
                      <w:szCs w:val="18"/>
                      <w:u w:val="single"/>
                      <w:lang w:eastAsia="zh-CN"/>
                    </w:rPr>
                  </w:pPr>
                  <w:r>
                    <w:rPr>
                      <w:rFonts w:hint="eastAsia"/>
                      <w:b/>
                      <w:bCs/>
                      <w:kern w:val="2"/>
                      <w:sz w:val="18"/>
                      <w:szCs w:val="18"/>
                      <w:u w:val="single"/>
                      <w:lang w:eastAsia="zh-CN"/>
                    </w:rPr>
                    <w:t>颗粒物</w:t>
                  </w:r>
                </w:p>
              </w:tc>
              <w:tc>
                <w:tcPr>
                  <w:tcW w:w="675"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8</w:t>
                  </w:r>
                </w:p>
              </w:tc>
              <w:tc>
                <w:tcPr>
                  <w:tcW w:w="638"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4</w:t>
                  </w:r>
                </w:p>
              </w:tc>
              <w:tc>
                <w:tcPr>
                  <w:tcW w:w="812"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4444.44</w:t>
                  </w:r>
                </w:p>
              </w:tc>
              <w:tc>
                <w:tcPr>
                  <w:tcW w:w="1175" w:type="dxa"/>
                  <w:vAlign w:val="center"/>
                </w:tcPr>
                <w:p>
                  <w:pPr>
                    <w:widowControl/>
                    <w:jc w:val="center"/>
                    <w:rPr>
                      <w:rFonts w:hint="default" w:eastAsia="宋体"/>
                      <w:b/>
                      <w:bCs/>
                      <w:sz w:val="18"/>
                      <w:szCs w:val="18"/>
                      <w:u w:val="single"/>
                      <w:lang w:val="en-US" w:eastAsia="zh-CN"/>
                    </w:rPr>
                  </w:pPr>
                  <w:r>
                    <w:rPr>
                      <w:rFonts w:hint="eastAsia"/>
                      <w:b/>
                      <w:bCs/>
                      <w:sz w:val="18"/>
                      <w:szCs w:val="18"/>
                      <w:u w:val="single"/>
                      <w:lang w:val="en-US" w:eastAsia="zh-CN"/>
                    </w:rPr>
                    <w:t>3台打包机，共3套袋式除尘器（8#、9#、10#）</w:t>
                  </w:r>
                </w:p>
              </w:tc>
              <w:tc>
                <w:tcPr>
                  <w:tcW w:w="713" w:type="dxa"/>
                  <w:vMerge w:val="continue"/>
                  <w:vAlign w:val="center"/>
                </w:tcPr>
                <w:p>
                  <w:pPr>
                    <w:widowControl/>
                    <w:jc w:val="center"/>
                    <w:rPr>
                      <w:sz w:val="18"/>
                      <w:szCs w:val="18"/>
                    </w:rPr>
                  </w:pPr>
                </w:p>
              </w:tc>
              <w:tc>
                <w:tcPr>
                  <w:tcW w:w="725" w:type="dxa"/>
                  <w:vAlign w:val="center"/>
                </w:tcPr>
                <w:p>
                  <w:pPr>
                    <w:snapToGrid w:val="0"/>
                    <w:jc w:val="center"/>
                    <w:rPr>
                      <w:rFonts w:hint="eastAsia" w:eastAsia="宋体"/>
                      <w:b/>
                      <w:bCs/>
                      <w:snapToGrid w:val="0"/>
                      <w:kern w:val="0"/>
                      <w:sz w:val="18"/>
                      <w:szCs w:val="18"/>
                      <w:u w:val="single"/>
                      <w:lang w:val="en-US" w:eastAsia="zh-CN"/>
                    </w:rPr>
                  </w:pPr>
                  <w:r>
                    <w:rPr>
                      <w:rFonts w:hint="eastAsia"/>
                      <w:b/>
                      <w:bCs/>
                      <w:snapToGrid w:val="0"/>
                      <w:kern w:val="0"/>
                      <w:sz w:val="18"/>
                      <w:szCs w:val="18"/>
                      <w:u w:val="single"/>
                      <w:lang w:val="en-US" w:eastAsia="zh-CN"/>
                    </w:rPr>
                    <w:t>0.008</w:t>
                  </w:r>
                </w:p>
              </w:tc>
              <w:tc>
                <w:tcPr>
                  <w:tcW w:w="731" w:type="dxa"/>
                  <w:vAlign w:val="center"/>
                </w:tcPr>
                <w:p>
                  <w:pPr>
                    <w:pStyle w:val="63"/>
                    <w:kinsoku w:val="0"/>
                    <w:overflowPunct w:val="0"/>
                    <w:snapToGrid w:val="0"/>
                    <w:jc w:val="center"/>
                    <w:rPr>
                      <w:rFonts w:hint="eastAsia" w:eastAsia="宋体"/>
                      <w:b/>
                      <w:bCs/>
                      <w:kern w:val="2"/>
                      <w:sz w:val="18"/>
                      <w:szCs w:val="18"/>
                      <w:u w:val="single"/>
                      <w:lang w:val="en-US" w:eastAsia="zh-CN"/>
                    </w:rPr>
                  </w:pPr>
                  <w:r>
                    <w:rPr>
                      <w:rFonts w:hint="eastAsia"/>
                      <w:b/>
                      <w:bCs/>
                      <w:kern w:val="2"/>
                      <w:sz w:val="18"/>
                      <w:szCs w:val="18"/>
                      <w:u w:val="single"/>
                      <w:lang w:val="en-US" w:eastAsia="zh-CN"/>
                    </w:rPr>
                    <w:t>0.004</w:t>
                  </w:r>
                </w:p>
              </w:tc>
              <w:tc>
                <w:tcPr>
                  <w:tcW w:w="715" w:type="dxa"/>
                  <w:vAlign w:val="center"/>
                </w:tcPr>
                <w:p>
                  <w:pPr>
                    <w:snapToGrid w:val="0"/>
                    <w:jc w:val="center"/>
                    <w:rPr>
                      <w:rFonts w:hint="eastAsia" w:eastAsia="宋体"/>
                      <w:b/>
                      <w:bCs/>
                      <w:snapToGrid w:val="0"/>
                      <w:kern w:val="0"/>
                      <w:sz w:val="18"/>
                      <w:szCs w:val="18"/>
                      <w:u w:val="single"/>
                      <w:lang w:val="en-US" w:eastAsia="zh-CN"/>
                    </w:rPr>
                  </w:pPr>
                  <w:r>
                    <w:rPr>
                      <w:rFonts w:hint="eastAsia"/>
                      <w:b/>
                      <w:bCs/>
                      <w:snapToGrid w:val="0"/>
                      <w:kern w:val="0"/>
                      <w:sz w:val="18"/>
                      <w:szCs w:val="18"/>
                      <w:u w:val="single"/>
                      <w:lang w:val="en-US" w:eastAsia="zh-CN"/>
                    </w:rPr>
                    <w:t>4.44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restart"/>
                  <w:vAlign w:val="center"/>
                </w:tcPr>
                <w:p>
                  <w:pPr>
                    <w:pStyle w:val="63"/>
                    <w:kinsoku w:val="0"/>
                    <w:overflowPunct w:val="0"/>
                    <w:snapToGrid w:val="0"/>
                    <w:jc w:val="center"/>
                    <w:rPr>
                      <w:kern w:val="2"/>
                      <w:sz w:val="18"/>
                      <w:szCs w:val="18"/>
                    </w:rPr>
                  </w:pPr>
                  <w:r>
                    <w:rPr>
                      <w:rFonts w:hint="eastAsia"/>
                      <w:kern w:val="2"/>
                      <w:sz w:val="18"/>
                      <w:szCs w:val="18"/>
                    </w:rPr>
                    <w:t>无组织废气</w:t>
                  </w:r>
                </w:p>
              </w:tc>
              <w:tc>
                <w:tcPr>
                  <w:tcW w:w="606" w:type="dxa"/>
                  <w:vAlign w:val="center"/>
                </w:tcPr>
                <w:p>
                  <w:pPr>
                    <w:widowControl/>
                    <w:jc w:val="center"/>
                    <w:rPr>
                      <w:sz w:val="18"/>
                      <w:szCs w:val="18"/>
                    </w:rPr>
                  </w:pPr>
                  <w:r>
                    <w:rPr>
                      <w:rFonts w:hint="eastAsia"/>
                      <w:sz w:val="18"/>
                      <w:szCs w:val="18"/>
                    </w:rPr>
                    <w:t>原料卸料</w:t>
                  </w: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颗粒物</w:t>
                  </w:r>
                </w:p>
              </w:tc>
              <w:tc>
                <w:tcPr>
                  <w:tcW w:w="675"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lang w:val="en-US" w:eastAsia="zh-CN"/>
                    </w:rPr>
                    <w:t>0.024</w:t>
                  </w:r>
                </w:p>
              </w:tc>
              <w:tc>
                <w:tcPr>
                  <w:tcW w:w="638" w:type="dxa"/>
                  <w:vAlign w:val="center"/>
                </w:tcPr>
                <w:p>
                  <w:pPr>
                    <w:widowControl/>
                    <w:jc w:val="center"/>
                    <w:rPr>
                      <w:kern w:val="0"/>
                      <w:sz w:val="18"/>
                      <w:szCs w:val="18"/>
                    </w:rPr>
                  </w:pPr>
                  <w:r>
                    <w:rPr>
                      <w:rFonts w:hint="eastAsia"/>
                      <w:kern w:val="0"/>
                      <w:sz w:val="18"/>
                      <w:szCs w:val="18"/>
                    </w:rPr>
                    <w:t>/</w:t>
                  </w:r>
                </w:p>
              </w:tc>
              <w:tc>
                <w:tcPr>
                  <w:tcW w:w="812" w:type="dxa"/>
                  <w:vAlign w:val="center"/>
                </w:tcPr>
                <w:p>
                  <w:pPr>
                    <w:widowControl/>
                    <w:jc w:val="center"/>
                    <w:rPr>
                      <w:kern w:val="0"/>
                      <w:sz w:val="18"/>
                      <w:szCs w:val="18"/>
                    </w:rPr>
                  </w:pPr>
                  <w:r>
                    <w:rPr>
                      <w:rFonts w:hint="eastAsia"/>
                      <w:kern w:val="0"/>
                      <w:sz w:val="18"/>
                      <w:szCs w:val="18"/>
                    </w:rPr>
                    <w:t>/</w:t>
                  </w:r>
                </w:p>
              </w:tc>
              <w:tc>
                <w:tcPr>
                  <w:tcW w:w="1888" w:type="dxa"/>
                  <w:gridSpan w:val="2"/>
                  <w:vMerge w:val="restart"/>
                  <w:vAlign w:val="center"/>
                </w:tcPr>
                <w:p>
                  <w:pPr>
                    <w:jc w:val="center"/>
                    <w:rPr>
                      <w:sz w:val="18"/>
                      <w:szCs w:val="18"/>
                    </w:rPr>
                  </w:pPr>
                  <w:r>
                    <w:rPr>
                      <w:rFonts w:hint="eastAsia"/>
                      <w:sz w:val="18"/>
                      <w:szCs w:val="18"/>
                    </w:rPr>
                    <w:t>原料库四面密闭，通道口安装卷帘门；所有地面硬化；安装固定的喷干雾抑尘装置。</w:t>
                  </w:r>
                  <w:r>
                    <w:rPr>
                      <w:rFonts w:hint="eastAsia"/>
                      <w:snapToGrid w:val="0"/>
                      <w:kern w:val="0"/>
                      <w:sz w:val="18"/>
                      <w:szCs w:val="18"/>
                    </w:rPr>
                    <w:t>厂区道路硬化，定期清扫；裸露地面硬化；配备车辆冲洗设施。</w:t>
                  </w:r>
                </w:p>
              </w:tc>
              <w:tc>
                <w:tcPr>
                  <w:tcW w:w="725" w:type="dxa"/>
                  <w:vAlign w:val="center"/>
                </w:tcPr>
                <w:p>
                  <w:pPr>
                    <w:pStyle w:val="63"/>
                    <w:kinsoku w:val="0"/>
                    <w:overflowPunct w:val="0"/>
                    <w:snapToGrid w:val="0"/>
                    <w:jc w:val="center"/>
                    <w:rPr>
                      <w:rFonts w:hint="eastAsia" w:eastAsia="宋体"/>
                      <w:kern w:val="2"/>
                      <w:sz w:val="18"/>
                      <w:szCs w:val="18"/>
                      <w:lang w:val="en-US" w:eastAsia="zh-CN"/>
                    </w:rPr>
                  </w:pPr>
                  <w:r>
                    <w:rPr>
                      <w:rFonts w:hint="eastAsia"/>
                      <w:kern w:val="2"/>
                      <w:sz w:val="18"/>
                      <w:szCs w:val="18"/>
                    </w:rPr>
                    <w:t>0.002</w:t>
                  </w:r>
                  <w:r>
                    <w:rPr>
                      <w:rFonts w:hint="eastAsia"/>
                      <w:kern w:val="2"/>
                      <w:sz w:val="18"/>
                      <w:szCs w:val="18"/>
                      <w:lang w:val="en-US" w:eastAsia="zh-CN"/>
                    </w:rPr>
                    <w:t>4</w:t>
                  </w:r>
                </w:p>
              </w:tc>
              <w:tc>
                <w:tcPr>
                  <w:tcW w:w="731" w:type="dxa"/>
                  <w:vAlign w:val="center"/>
                </w:tcPr>
                <w:p>
                  <w:pPr>
                    <w:widowControl/>
                    <w:jc w:val="center"/>
                    <w:rPr>
                      <w:kern w:val="0"/>
                      <w:sz w:val="18"/>
                      <w:szCs w:val="18"/>
                    </w:rPr>
                  </w:pPr>
                  <w:r>
                    <w:rPr>
                      <w:rFonts w:hint="eastAsia"/>
                      <w:kern w:val="0"/>
                      <w:sz w:val="18"/>
                      <w:szCs w:val="18"/>
                    </w:rPr>
                    <w:t>/</w:t>
                  </w:r>
                </w:p>
              </w:tc>
              <w:tc>
                <w:tcPr>
                  <w:tcW w:w="715" w:type="dxa"/>
                  <w:vAlign w:val="center"/>
                </w:tcPr>
                <w:p>
                  <w:pPr>
                    <w:widowControl/>
                    <w:jc w:val="center"/>
                    <w:rPr>
                      <w:kern w:val="0"/>
                      <w:sz w:val="18"/>
                      <w:szCs w:val="18"/>
                    </w:rPr>
                  </w:pPr>
                  <w:r>
                    <w:rPr>
                      <w:rFonts w:hint="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widowControl/>
                    <w:jc w:val="center"/>
                    <w:rPr>
                      <w:sz w:val="18"/>
                      <w:szCs w:val="18"/>
                      <w:highlight w:val="yellow"/>
                    </w:rPr>
                  </w:pPr>
                </w:p>
              </w:tc>
              <w:tc>
                <w:tcPr>
                  <w:tcW w:w="606" w:type="dxa"/>
                  <w:vAlign w:val="center"/>
                </w:tcPr>
                <w:p>
                  <w:pPr>
                    <w:widowControl/>
                    <w:jc w:val="center"/>
                    <w:rPr>
                      <w:sz w:val="18"/>
                      <w:szCs w:val="18"/>
                    </w:rPr>
                  </w:pPr>
                  <w:r>
                    <w:rPr>
                      <w:rFonts w:hint="eastAsia"/>
                      <w:sz w:val="18"/>
                      <w:szCs w:val="18"/>
                    </w:rPr>
                    <w:t>上料粉尘</w:t>
                  </w: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颗粒物</w:t>
                  </w:r>
                </w:p>
              </w:tc>
              <w:tc>
                <w:tcPr>
                  <w:tcW w:w="675" w:type="dxa"/>
                  <w:vAlign w:val="center"/>
                </w:tcPr>
                <w:p>
                  <w:pPr>
                    <w:widowControl/>
                    <w:jc w:val="center"/>
                    <w:rPr>
                      <w:rFonts w:hint="eastAsia" w:eastAsia="宋体"/>
                      <w:kern w:val="0"/>
                      <w:sz w:val="18"/>
                      <w:szCs w:val="18"/>
                      <w:lang w:val="en-US" w:eastAsia="zh-CN"/>
                    </w:rPr>
                  </w:pPr>
                  <w:r>
                    <w:rPr>
                      <w:rFonts w:hint="eastAsia"/>
                      <w:kern w:val="0"/>
                      <w:sz w:val="18"/>
                      <w:szCs w:val="18"/>
                      <w:lang w:val="en-US" w:eastAsia="zh-CN"/>
                    </w:rPr>
                    <w:t>0.47</w:t>
                  </w:r>
                </w:p>
              </w:tc>
              <w:tc>
                <w:tcPr>
                  <w:tcW w:w="638" w:type="dxa"/>
                  <w:vAlign w:val="center"/>
                </w:tcPr>
                <w:p>
                  <w:pPr>
                    <w:widowControl/>
                    <w:jc w:val="center"/>
                    <w:rPr>
                      <w:rFonts w:hint="eastAsia" w:eastAsia="宋体"/>
                      <w:kern w:val="0"/>
                      <w:sz w:val="18"/>
                      <w:szCs w:val="18"/>
                      <w:lang w:val="en-US" w:eastAsia="zh-CN"/>
                    </w:rPr>
                  </w:pPr>
                  <w:r>
                    <w:rPr>
                      <w:rFonts w:hint="eastAsia"/>
                      <w:kern w:val="0"/>
                      <w:sz w:val="18"/>
                      <w:szCs w:val="18"/>
                      <w:lang w:val="en-US" w:eastAsia="zh-CN"/>
                    </w:rPr>
                    <w:t>0.24</w:t>
                  </w:r>
                </w:p>
              </w:tc>
              <w:tc>
                <w:tcPr>
                  <w:tcW w:w="812" w:type="dxa"/>
                  <w:vAlign w:val="center"/>
                </w:tcPr>
                <w:p>
                  <w:pPr>
                    <w:widowControl/>
                    <w:jc w:val="center"/>
                    <w:rPr>
                      <w:kern w:val="0"/>
                      <w:sz w:val="18"/>
                      <w:szCs w:val="18"/>
                    </w:rPr>
                  </w:pPr>
                  <w:r>
                    <w:rPr>
                      <w:rFonts w:hint="eastAsia"/>
                      <w:kern w:val="0"/>
                      <w:sz w:val="18"/>
                      <w:szCs w:val="18"/>
                    </w:rPr>
                    <w:t>/</w:t>
                  </w:r>
                </w:p>
              </w:tc>
              <w:tc>
                <w:tcPr>
                  <w:tcW w:w="1888" w:type="dxa"/>
                  <w:gridSpan w:val="2"/>
                  <w:vMerge w:val="continue"/>
                  <w:vAlign w:val="center"/>
                </w:tcPr>
                <w:p>
                  <w:pPr>
                    <w:widowControl/>
                    <w:jc w:val="center"/>
                    <w:rPr>
                      <w:sz w:val="18"/>
                      <w:szCs w:val="18"/>
                    </w:rPr>
                  </w:pPr>
                </w:p>
              </w:tc>
              <w:tc>
                <w:tcPr>
                  <w:tcW w:w="725" w:type="dxa"/>
                  <w:vAlign w:val="center"/>
                </w:tcPr>
                <w:p>
                  <w:pPr>
                    <w:pStyle w:val="19"/>
                    <w:ind w:left="0" w:leftChars="0" w:firstLine="0" w:firstLineChars="0"/>
                    <w:jc w:val="center"/>
                    <w:rPr>
                      <w:sz w:val="18"/>
                      <w:szCs w:val="18"/>
                      <w:lang w:val="en-US"/>
                    </w:rPr>
                  </w:pPr>
                  <w:r>
                    <w:rPr>
                      <w:rFonts w:hint="eastAsia" w:ascii="Times New Roman" w:hAnsi="Times New Roman" w:eastAsia="宋体" w:cs="Times New Roman"/>
                      <w:kern w:val="2"/>
                      <w:sz w:val="18"/>
                      <w:szCs w:val="18"/>
                      <w:lang w:val="en-US" w:eastAsia="zh-CN" w:bidi="ar-SA"/>
                    </w:rPr>
                    <w:t>0.04</w:t>
                  </w:r>
                  <w:r>
                    <w:rPr>
                      <w:rFonts w:hint="eastAsia" w:cs="Times New Roman"/>
                      <w:kern w:val="2"/>
                      <w:sz w:val="18"/>
                      <w:szCs w:val="18"/>
                      <w:lang w:val="en-US" w:eastAsia="zh-CN" w:bidi="ar-SA"/>
                    </w:rPr>
                    <w:t>7</w:t>
                  </w:r>
                </w:p>
              </w:tc>
              <w:tc>
                <w:tcPr>
                  <w:tcW w:w="731" w:type="dxa"/>
                  <w:vAlign w:val="center"/>
                </w:tcPr>
                <w:p>
                  <w:pPr>
                    <w:widowControl/>
                    <w:jc w:val="center"/>
                    <w:rPr>
                      <w:rFonts w:hint="eastAsia" w:eastAsia="宋体"/>
                      <w:sz w:val="18"/>
                      <w:szCs w:val="18"/>
                      <w:lang w:val="en-US" w:eastAsia="zh-CN"/>
                    </w:rPr>
                  </w:pPr>
                  <w:r>
                    <w:rPr>
                      <w:rFonts w:hint="eastAsia"/>
                      <w:sz w:val="18"/>
                      <w:szCs w:val="18"/>
                    </w:rPr>
                    <w:t>0.02</w:t>
                  </w:r>
                  <w:r>
                    <w:rPr>
                      <w:rFonts w:hint="eastAsia"/>
                      <w:sz w:val="18"/>
                      <w:szCs w:val="18"/>
                      <w:lang w:val="en-US" w:eastAsia="zh-CN"/>
                    </w:rPr>
                    <w:t>4</w:t>
                  </w:r>
                </w:p>
              </w:tc>
              <w:tc>
                <w:tcPr>
                  <w:tcW w:w="715" w:type="dxa"/>
                  <w:vAlign w:val="center"/>
                </w:tcPr>
                <w:p>
                  <w:pPr>
                    <w:widowControl/>
                    <w:jc w:val="center"/>
                    <w:rPr>
                      <w:kern w:val="0"/>
                      <w:sz w:val="18"/>
                      <w:szCs w:val="18"/>
                    </w:rPr>
                  </w:pPr>
                  <w:r>
                    <w:rPr>
                      <w:rFonts w:hint="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widowControl/>
                    <w:jc w:val="center"/>
                    <w:rPr>
                      <w:sz w:val="18"/>
                      <w:szCs w:val="18"/>
                      <w:highlight w:val="yellow"/>
                    </w:rPr>
                  </w:pPr>
                </w:p>
              </w:tc>
              <w:tc>
                <w:tcPr>
                  <w:tcW w:w="606" w:type="dxa"/>
                  <w:vAlign w:val="center"/>
                </w:tcPr>
                <w:p>
                  <w:pPr>
                    <w:widowControl/>
                    <w:jc w:val="center"/>
                    <w:rPr>
                      <w:sz w:val="18"/>
                      <w:szCs w:val="18"/>
                    </w:rPr>
                  </w:pPr>
                  <w:r>
                    <w:rPr>
                      <w:rFonts w:hint="eastAsia"/>
                      <w:sz w:val="18"/>
                      <w:szCs w:val="18"/>
                    </w:rPr>
                    <w:t>破碎工序</w:t>
                  </w: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颗粒物</w:t>
                  </w:r>
                </w:p>
              </w:tc>
              <w:tc>
                <w:tcPr>
                  <w:tcW w:w="675" w:type="dxa"/>
                  <w:vAlign w:val="center"/>
                </w:tcPr>
                <w:p>
                  <w:pPr>
                    <w:widowControl/>
                    <w:jc w:val="center"/>
                    <w:rPr>
                      <w:rFonts w:hint="eastAsia" w:eastAsia="宋体"/>
                      <w:kern w:val="0"/>
                      <w:sz w:val="18"/>
                      <w:szCs w:val="18"/>
                      <w:lang w:val="en-US" w:eastAsia="zh-CN"/>
                    </w:rPr>
                  </w:pPr>
                  <w:r>
                    <w:rPr>
                      <w:rFonts w:hint="eastAsia"/>
                      <w:kern w:val="0"/>
                      <w:sz w:val="18"/>
                      <w:szCs w:val="18"/>
                      <w:lang w:val="en-US" w:eastAsia="zh-CN"/>
                    </w:rPr>
                    <w:t>2.35</w:t>
                  </w:r>
                </w:p>
              </w:tc>
              <w:tc>
                <w:tcPr>
                  <w:tcW w:w="638" w:type="dxa"/>
                  <w:vAlign w:val="center"/>
                </w:tcPr>
                <w:p>
                  <w:pPr>
                    <w:widowControl/>
                    <w:jc w:val="center"/>
                    <w:rPr>
                      <w:rFonts w:hint="eastAsia" w:eastAsia="宋体"/>
                      <w:kern w:val="0"/>
                      <w:sz w:val="18"/>
                      <w:szCs w:val="18"/>
                      <w:lang w:eastAsia="zh-CN"/>
                    </w:rPr>
                  </w:pPr>
                  <w:r>
                    <w:rPr>
                      <w:rFonts w:hint="eastAsia"/>
                      <w:kern w:val="0"/>
                      <w:sz w:val="18"/>
                      <w:szCs w:val="18"/>
                    </w:rPr>
                    <w:t>1.1</w:t>
                  </w:r>
                  <w:r>
                    <w:rPr>
                      <w:rFonts w:hint="eastAsia"/>
                      <w:kern w:val="0"/>
                      <w:sz w:val="18"/>
                      <w:szCs w:val="18"/>
                      <w:lang w:val="en-US" w:eastAsia="zh-CN"/>
                    </w:rPr>
                    <w:t>8</w:t>
                  </w:r>
                </w:p>
              </w:tc>
              <w:tc>
                <w:tcPr>
                  <w:tcW w:w="812" w:type="dxa"/>
                  <w:vAlign w:val="center"/>
                </w:tcPr>
                <w:p>
                  <w:pPr>
                    <w:widowControl/>
                    <w:jc w:val="center"/>
                    <w:rPr>
                      <w:kern w:val="0"/>
                      <w:sz w:val="18"/>
                      <w:szCs w:val="18"/>
                    </w:rPr>
                  </w:pPr>
                  <w:r>
                    <w:rPr>
                      <w:rFonts w:hint="eastAsia"/>
                      <w:kern w:val="0"/>
                      <w:sz w:val="18"/>
                      <w:szCs w:val="18"/>
                    </w:rPr>
                    <w:t>/</w:t>
                  </w:r>
                </w:p>
              </w:tc>
              <w:tc>
                <w:tcPr>
                  <w:tcW w:w="1888" w:type="dxa"/>
                  <w:gridSpan w:val="2"/>
                  <w:vMerge w:val="continue"/>
                  <w:vAlign w:val="center"/>
                </w:tcPr>
                <w:p>
                  <w:pPr>
                    <w:widowControl/>
                    <w:jc w:val="center"/>
                    <w:rPr>
                      <w:sz w:val="18"/>
                      <w:szCs w:val="18"/>
                    </w:rPr>
                  </w:pPr>
                </w:p>
              </w:tc>
              <w:tc>
                <w:tcPr>
                  <w:tcW w:w="725" w:type="dxa"/>
                  <w:vAlign w:val="center"/>
                </w:tcPr>
                <w:p>
                  <w:pPr>
                    <w:pStyle w:val="19"/>
                    <w:ind w:left="0" w:leftChars="0" w:firstLine="0" w:firstLineChars="0"/>
                    <w:jc w:val="center"/>
                    <w:rPr>
                      <w:rFonts w:hint="eastAsia" w:eastAsia="宋体"/>
                      <w:sz w:val="18"/>
                      <w:szCs w:val="18"/>
                      <w:lang w:val="en-US" w:eastAsia="zh-CN"/>
                    </w:rPr>
                  </w:pPr>
                  <w:r>
                    <w:rPr>
                      <w:rFonts w:hint="eastAsia"/>
                      <w:sz w:val="18"/>
                      <w:szCs w:val="18"/>
                      <w:lang w:val="en-US" w:eastAsia="zh-CN"/>
                    </w:rPr>
                    <w:t>0.24</w:t>
                  </w:r>
                </w:p>
              </w:tc>
              <w:tc>
                <w:tcPr>
                  <w:tcW w:w="731" w:type="dxa"/>
                  <w:vAlign w:val="center"/>
                </w:tcPr>
                <w:p>
                  <w:pPr>
                    <w:widowControl/>
                    <w:jc w:val="center"/>
                    <w:rPr>
                      <w:rFonts w:hint="eastAsia" w:eastAsia="宋体"/>
                      <w:sz w:val="18"/>
                      <w:szCs w:val="18"/>
                      <w:lang w:eastAsia="zh-CN"/>
                    </w:rPr>
                  </w:pPr>
                  <w:r>
                    <w:rPr>
                      <w:rFonts w:hint="eastAsia"/>
                      <w:sz w:val="18"/>
                      <w:szCs w:val="18"/>
                    </w:rPr>
                    <w:t>0.1</w:t>
                  </w:r>
                  <w:r>
                    <w:rPr>
                      <w:rFonts w:hint="eastAsia"/>
                      <w:sz w:val="18"/>
                      <w:szCs w:val="18"/>
                      <w:lang w:val="en-US" w:eastAsia="zh-CN"/>
                    </w:rPr>
                    <w:t>2</w:t>
                  </w:r>
                </w:p>
              </w:tc>
              <w:tc>
                <w:tcPr>
                  <w:tcW w:w="715" w:type="dxa"/>
                  <w:vAlign w:val="center"/>
                </w:tcPr>
                <w:p>
                  <w:pPr>
                    <w:widowControl/>
                    <w:jc w:val="center"/>
                    <w:rPr>
                      <w:kern w:val="0"/>
                      <w:sz w:val="18"/>
                      <w:szCs w:val="18"/>
                    </w:rPr>
                  </w:pPr>
                  <w:r>
                    <w:rPr>
                      <w:rFonts w:hint="eastAsia"/>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321" w:type="dxa"/>
                  <w:vMerge w:val="continue"/>
                  <w:vAlign w:val="center"/>
                </w:tcPr>
                <w:p>
                  <w:pPr>
                    <w:widowControl/>
                    <w:jc w:val="center"/>
                    <w:rPr>
                      <w:sz w:val="18"/>
                      <w:szCs w:val="18"/>
                      <w:highlight w:val="yellow"/>
                    </w:rPr>
                  </w:pPr>
                </w:p>
              </w:tc>
              <w:tc>
                <w:tcPr>
                  <w:tcW w:w="606" w:type="dxa"/>
                  <w:vAlign w:val="center"/>
                </w:tcPr>
                <w:p>
                  <w:pPr>
                    <w:widowControl/>
                    <w:jc w:val="center"/>
                    <w:rPr>
                      <w:sz w:val="18"/>
                      <w:szCs w:val="18"/>
                    </w:rPr>
                  </w:pPr>
                  <w:r>
                    <w:rPr>
                      <w:rFonts w:hint="eastAsia"/>
                      <w:sz w:val="18"/>
                      <w:szCs w:val="18"/>
                    </w:rPr>
                    <w:t>车辆扬尘</w:t>
                  </w:r>
                </w:p>
              </w:tc>
              <w:tc>
                <w:tcPr>
                  <w:tcW w:w="825" w:type="dxa"/>
                  <w:vAlign w:val="center"/>
                </w:tcPr>
                <w:p>
                  <w:pPr>
                    <w:pStyle w:val="63"/>
                    <w:kinsoku w:val="0"/>
                    <w:overflowPunct w:val="0"/>
                    <w:snapToGrid w:val="0"/>
                    <w:jc w:val="center"/>
                    <w:rPr>
                      <w:kern w:val="2"/>
                      <w:sz w:val="18"/>
                      <w:szCs w:val="18"/>
                    </w:rPr>
                  </w:pPr>
                  <w:r>
                    <w:rPr>
                      <w:rFonts w:hint="eastAsia"/>
                      <w:kern w:val="2"/>
                      <w:sz w:val="18"/>
                      <w:szCs w:val="18"/>
                    </w:rPr>
                    <w:t>颗粒物</w:t>
                  </w:r>
                </w:p>
              </w:tc>
              <w:tc>
                <w:tcPr>
                  <w:tcW w:w="675" w:type="dxa"/>
                  <w:vAlign w:val="center"/>
                </w:tcPr>
                <w:p>
                  <w:pPr>
                    <w:widowControl/>
                    <w:jc w:val="center"/>
                    <w:rPr>
                      <w:rFonts w:hint="eastAsia" w:eastAsia="宋体"/>
                      <w:kern w:val="0"/>
                      <w:sz w:val="18"/>
                      <w:szCs w:val="18"/>
                      <w:lang w:val="en-US" w:eastAsia="zh-CN"/>
                    </w:rPr>
                  </w:pPr>
                  <w:r>
                    <w:rPr>
                      <w:rFonts w:hint="eastAsia"/>
                      <w:kern w:val="0"/>
                      <w:sz w:val="18"/>
                      <w:szCs w:val="18"/>
                      <w:lang w:val="en-US" w:eastAsia="zh-CN"/>
                    </w:rPr>
                    <w:t>0.394</w:t>
                  </w:r>
                </w:p>
              </w:tc>
              <w:tc>
                <w:tcPr>
                  <w:tcW w:w="638" w:type="dxa"/>
                  <w:vAlign w:val="center"/>
                </w:tcPr>
                <w:p>
                  <w:pPr>
                    <w:widowControl/>
                    <w:jc w:val="center"/>
                    <w:rPr>
                      <w:kern w:val="0"/>
                      <w:sz w:val="18"/>
                      <w:szCs w:val="18"/>
                    </w:rPr>
                  </w:pPr>
                  <w:r>
                    <w:rPr>
                      <w:rFonts w:hint="eastAsia"/>
                      <w:kern w:val="0"/>
                      <w:sz w:val="18"/>
                      <w:szCs w:val="18"/>
                    </w:rPr>
                    <w:t>/</w:t>
                  </w:r>
                </w:p>
              </w:tc>
              <w:tc>
                <w:tcPr>
                  <w:tcW w:w="812" w:type="dxa"/>
                  <w:vAlign w:val="center"/>
                </w:tcPr>
                <w:p>
                  <w:pPr>
                    <w:widowControl/>
                    <w:jc w:val="center"/>
                    <w:rPr>
                      <w:kern w:val="0"/>
                      <w:sz w:val="18"/>
                      <w:szCs w:val="18"/>
                    </w:rPr>
                  </w:pPr>
                  <w:r>
                    <w:rPr>
                      <w:rFonts w:hint="eastAsia"/>
                      <w:kern w:val="0"/>
                      <w:sz w:val="18"/>
                      <w:szCs w:val="18"/>
                    </w:rPr>
                    <w:t>/</w:t>
                  </w:r>
                </w:p>
              </w:tc>
              <w:tc>
                <w:tcPr>
                  <w:tcW w:w="1888" w:type="dxa"/>
                  <w:gridSpan w:val="2"/>
                  <w:vMerge w:val="continue"/>
                  <w:vAlign w:val="center"/>
                </w:tcPr>
                <w:p>
                  <w:pPr>
                    <w:widowControl/>
                    <w:jc w:val="center"/>
                    <w:rPr>
                      <w:sz w:val="18"/>
                      <w:szCs w:val="18"/>
                    </w:rPr>
                  </w:pPr>
                </w:p>
              </w:tc>
              <w:tc>
                <w:tcPr>
                  <w:tcW w:w="725" w:type="dxa"/>
                  <w:vAlign w:val="center"/>
                </w:tcPr>
                <w:p>
                  <w:pPr>
                    <w:pStyle w:val="19"/>
                    <w:ind w:left="0" w:leftChars="0" w:firstLine="0" w:firstLineChars="0"/>
                    <w:jc w:val="center"/>
                    <w:rPr>
                      <w:sz w:val="18"/>
                      <w:szCs w:val="18"/>
                    </w:rPr>
                  </w:pPr>
                  <w:r>
                    <w:rPr>
                      <w:rFonts w:hint="eastAsia"/>
                      <w:sz w:val="18"/>
                      <w:szCs w:val="18"/>
                    </w:rPr>
                    <w:t>0.04</w:t>
                  </w:r>
                </w:p>
              </w:tc>
              <w:tc>
                <w:tcPr>
                  <w:tcW w:w="731" w:type="dxa"/>
                  <w:vAlign w:val="center"/>
                </w:tcPr>
                <w:p>
                  <w:pPr>
                    <w:widowControl/>
                    <w:jc w:val="center"/>
                    <w:rPr>
                      <w:sz w:val="18"/>
                      <w:szCs w:val="18"/>
                    </w:rPr>
                  </w:pPr>
                  <w:r>
                    <w:rPr>
                      <w:rFonts w:hint="eastAsia"/>
                      <w:sz w:val="18"/>
                      <w:szCs w:val="18"/>
                    </w:rPr>
                    <w:t>/</w:t>
                  </w:r>
                </w:p>
              </w:tc>
              <w:tc>
                <w:tcPr>
                  <w:tcW w:w="715" w:type="dxa"/>
                  <w:vAlign w:val="center"/>
                </w:tcPr>
                <w:p>
                  <w:pPr>
                    <w:widowControl/>
                    <w:jc w:val="center"/>
                    <w:rPr>
                      <w:kern w:val="0"/>
                      <w:sz w:val="18"/>
                      <w:szCs w:val="18"/>
                    </w:rPr>
                  </w:pPr>
                  <w:r>
                    <w:rPr>
                      <w:rFonts w:hint="eastAsia"/>
                      <w:kern w:val="0"/>
                      <w:sz w:val="18"/>
                      <w:szCs w:val="18"/>
                    </w:rPr>
                    <w:t>/</w:t>
                  </w:r>
                </w:p>
              </w:tc>
            </w:tr>
          </w:tbl>
          <w:p>
            <w:pPr>
              <w:spacing w:line="360" w:lineRule="auto"/>
              <w:ind w:firstLine="482" w:firstLineChars="200"/>
              <w:rPr>
                <w:b/>
                <w:bCs/>
                <w:snapToGrid w:val="0"/>
                <w:kern w:val="0"/>
                <w:sz w:val="24"/>
              </w:rPr>
            </w:pPr>
            <w:r>
              <w:rPr>
                <w:rFonts w:hint="eastAsia"/>
                <w:b/>
                <w:bCs/>
                <w:snapToGrid w:val="0"/>
                <w:kern w:val="0"/>
                <w:sz w:val="24"/>
              </w:rPr>
              <w:t>1.2排放口基本情况</w:t>
            </w:r>
          </w:p>
          <w:p>
            <w:pPr>
              <w:spacing w:line="360" w:lineRule="auto"/>
              <w:ind w:firstLine="480" w:firstLineChars="200"/>
              <w:rPr>
                <w:snapToGrid w:val="0"/>
                <w:kern w:val="0"/>
                <w:sz w:val="24"/>
              </w:rPr>
            </w:pPr>
            <w:r>
              <w:rPr>
                <w:rFonts w:hint="eastAsia"/>
                <w:snapToGrid w:val="0"/>
                <w:kern w:val="0"/>
                <w:sz w:val="24"/>
              </w:rPr>
              <w:t>排放口相关内容见表4-</w:t>
            </w:r>
            <w:r>
              <w:rPr>
                <w:rFonts w:hint="eastAsia"/>
                <w:snapToGrid w:val="0"/>
                <w:kern w:val="0"/>
                <w:sz w:val="24"/>
                <w:lang w:val="en-US" w:eastAsia="zh-CN"/>
              </w:rPr>
              <w:t>11</w:t>
            </w:r>
            <w:r>
              <w:rPr>
                <w:rFonts w:hint="eastAsia"/>
                <w:snapToGrid w:val="0"/>
                <w:kern w:val="0"/>
                <w:sz w:val="24"/>
              </w:rPr>
              <w:t>。</w:t>
            </w:r>
          </w:p>
          <w:p>
            <w:pPr>
              <w:pStyle w:val="44"/>
              <w:spacing w:line="360" w:lineRule="auto"/>
              <w:rPr>
                <w:rFonts w:eastAsia="宋体"/>
                <w:sz w:val="24"/>
                <w:szCs w:val="24"/>
              </w:rPr>
            </w:pPr>
            <w:r>
              <w:rPr>
                <w:rFonts w:hint="eastAsia" w:eastAsia="宋体"/>
                <w:sz w:val="24"/>
                <w:szCs w:val="24"/>
              </w:rPr>
              <w:t>表4-</w:t>
            </w:r>
            <w:r>
              <w:rPr>
                <w:rFonts w:hint="eastAsia" w:eastAsia="宋体"/>
                <w:sz w:val="24"/>
                <w:szCs w:val="24"/>
                <w:lang w:val="en-US" w:eastAsia="zh-CN"/>
              </w:rPr>
              <w:t>11</w:t>
            </w:r>
            <w:r>
              <w:rPr>
                <w:rFonts w:hint="eastAsia" w:eastAsia="宋体"/>
                <w:sz w:val="24"/>
                <w:szCs w:val="24"/>
              </w:rPr>
              <w:t xml:space="preserve">    废气排放口基本情况</w:t>
            </w:r>
          </w:p>
          <w:tbl>
            <w:tblPr>
              <w:tblStyle w:val="26"/>
              <w:tblW w:w="7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76"/>
              <w:gridCol w:w="770"/>
              <w:gridCol w:w="1151"/>
              <w:gridCol w:w="739"/>
              <w:gridCol w:w="1421"/>
              <w:gridCol w:w="1365"/>
              <w:gridCol w:w="660"/>
              <w:gridCol w:w="838"/>
              <w:gridCol w:w="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36" w:hRule="atLeast"/>
              </w:trPr>
              <w:tc>
                <w:tcPr>
                  <w:tcW w:w="376" w:type="dxa"/>
                  <w:vMerge w:val="restart"/>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序号</w:t>
                  </w:r>
                </w:p>
              </w:tc>
              <w:tc>
                <w:tcPr>
                  <w:tcW w:w="770" w:type="dxa"/>
                  <w:vMerge w:val="restart"/>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排放口</w:t>
                  </w:r>
                  <w:r>
                    <w:rPr>
                      <w:b/>
                      <w:szCs w:val="21"/>
                    </w:rPr>
                    <w:t>编号</w:t>
                  </w:r>
                </w:p>
              </w:tc>
              <w:tc>
                <w:tcPr>
                  <w:tcW w:w="1151" w:type="dxa"/>
                  <w:vMerge w:val="restart"/>
                  <w:tcBorders>
                    <w:tl2br w:val="nil"/>
                    <w:tr2bl w:val="nil"/>
                  </w:tcBorders>
                  <w:tcMar>
                    <w:top w:w="57" w:type="dxa"/>
                    <w:bottom w:w="57" w:type="dxa"/>
                  </w:tcMar>
                  <w:vAlign w:val="center"/>
                </w:tcPr>
                <w:p>
                  <w:pPr>
                    <w:jc w:val="center"/>
                    <w:rPr>
                      <w:b/>
                      <w:szCs w:val="21"/>
                    </w:rPr>
                  </w:pPr>
                  <w:r>
                    <w:rPr>
                      <w:rFonts w:hint="eastAsia"/>
                      <w:b/>
                      <w:szCs w:val="21"/>
                    </w:rPr>
                    <w:t>排放口</w:t>
                  </w:r>
                  <w:r>
                    <w:rPr>
                      <w:b/>
                      <w:szCs w:val="21"/>
                    </w:rPr>
                    <w:t>名称</w:t>
                  </w:r>
                </w:p>
              </w:tc>
              <w:tc>
                <w:tcPr>
                  <w:tcW w:w="739" w:type="dxa"/>
                  <w:vMerge w:val="restart"/>
                  <w:tcBorders>
                    <w:tl2br w:val="nil"/>
                    <w:tr2bl w:val="nil"/>
                  </w:tcBorders>
                  <w:tcMar>
                    <w:top w:w="57" w:type="dxa"/>
                    <w:bottom w:w="57" w:type="dxa"/>
                  </w:tcMar>
                  <w:vAlign w:val="center"/>
                </w:tcPr>
                <w:p>
                  <w:pPr>
                    <w:jc w:val="center"/>
                    <w:rPr>
                      <w:b/>
                      <w:szCs w:val="21"/>
                    </w:rPr>
                  </w:pPr>
                  <w:r>
                    <w:rPr>
                      <w:rFonts w:hint="eastAsia"/>
                      <w:b/>
                      <w:szCs w:val="21"/>
                    </w:rPr>
                    <w:t>污染物</w:t>
                  </w:r>
                  <w:r>
                    <w:rPr>
                      <w:b/>
                      <w:szCs w:val="21"/>
                    </w:rPr>
                    <w:t>种类</w:t>
                  </w:r>
                </w:p>
              </w:tc>
              <w:tc>
                <w:tcPr>
                  <w:tcW w:w="2786" w:type="dxa"/>
                  <w:gridSpan w:val="2"/>
                  <w:tcBorders>
                    <w:tl2br w:val="nil"/>
                    <w:tr2bl w:val="nil"/>
                  </w:tcBorders>
                  <w:tcMar>
                    <w:top w:w="57" w:type="dxa"/>
                    <w:bottom w:w="57" w:type="dxa"/>
                  </w:tcMar>
                  <w:vAlign w:val="center"/>
                </w:tcPr>
                <w:p>
                  <w:pPr>
                    <w:jc w:val="center"/>
                    <w:rPr>
                      <w:b/>
                      <w:szCs w:val="21"/>
                    </w:rPr>
                  </w:pPr>
                  <w:r>
                    <w:rPr>
                      <w:rFonts w:hint="eastAsia"/>
                      <w:b/>
                      <w:szCs w:val="21"/>
                    </w:rPr>
                    <w:t>排放口地理</w:t>
                  </w:r>
                  <w:r>
                    <w:rPr>
                      <w:b/>
                      <w:szCs w:val="21"/>
                    </w:rPr>
                    <w:t>坐标</w:t>
                  </w:r>
                </w:p>
              </w:tc>
              <w:tc>
                <w:tcPr>
                  <w:tcW w:w="660" w:type="dxa"/>
                  <w:vMerge w:val="restart"/>
                  <w:tcBorders>
                    <w:tl2br w:val="nil"/>
                    <w:tr2bl w:val="nil"/>
                  </w:tcBorders>
                  <w:vAlign w:val="center"/>
                </w:tcPr>
                <w:p>
                  <w:pPr>
                    <w:jc w:val="center"/>
                    <w:rPr>
                      <w:b/>
                      <w:szCs w:val="21"/>
                    </w:rPr>
                  </w:pPr>
                  <w:r>
                    <w:rPr>
                      <w:rFonts w:hint="eastAsia"/>
                      <w:b/>
                      <w:szCs w:val="21"/>
                    </w:rPr>
                    <w:t>排气筒</w:t>
                  </w:r>
                  <w:r>
                    <w:rPr>
                      <w:b/>
                      <w:szCs w:val="21"/>
                    </w:rPr>
                    <w:t>高度</w:t>
                  </w:r>
                  <w:r>
                    <w:rPr>
                      <w:rFonts w:hint="eastAsia"/>
                      <w:b/>
                      <w:szCs w:val="21"/>
                    </w:rPr>
                    <w:t>（m）</w:t>
                  </w:r>
                </w:p>
              </w:tc>
              <w:tc>
                <w:tcPr>
                  <w:tcW w:w="838" w:type="dxa"/>
                  <w:vMerge w:val="restart"/>
                  <w:tcBorders>
                    <w:tl2br w:val="nil"/>
                    <w:tr2bl w:val="nil"/>
                  </w:tcBorders>
                  <w:vAlign w:val="center"/>
                </w:tcPr>
                <w:p>
                  <w:pPr>
                    <w:jc w:val="center"/>
                    <w:rPr>
                      <w:b/>
                      <w:szCs w:val="21"/>
                    </w:rPr>
                  </w:pPr>
                  <w:r>
                    <w:rPr>
                      <w:rFonts w:hint="eastAsia"/>
                      <w:b/>
                      <w:szCs w:val="21"/>
                    </w:rPr>
                    <w:t>排气筒</w:t>
                  </w:r>
                  <w:r>
                    <w:rPr>
                      <w:b/>
                      <w:szCs w:val="21"/>
                    </w:rPr>
                    <w:t>出口内径</w:t>
                  </w:r>
                  <w:r>
                    <w:rPr>
                      <w:rFonts w:hint="eastAsia"/>
                      <w:b/>
                      <w:szCs w:val="21"/>
                    </w:rPr>
                    <w:t>（m）</w:t>
                  </w:r>
                </w:p>
              </w:tc>
              <w:tc>
                <w:tcPr>
                  <w:tcW w:w="595" w:type="dxa"/>
                  <w:vMerge w:val="restart"/>
                  <w:tcBorders>
                    <w:tl2br w:val="nil"/>
                    <w:tr2bl w:val="nil"/>
                  </w:tcBorders>
                  <w:vAlign w:val="center"/>
                </w:tcPr>
                <w:p>
                  <w:pPr>
                    <w:jc w:val="center"/>
                    <w:rPr>
                      <w:b/>
                      <w:szCs w:val="21"/>
                    </w:rPr>
                  </w:pPr>
                  <w:r>
                    <w:rPr>
                      <w:rFonts w:hint="eastAsia"/>
                      <w:b/>
                      <w:szCs w:val="21"/>
                    </w:rPr>
                    <w:t>排气</w:t>
                  </w:r>
                </w:p>
                <w:p>
                  <w:pPr>
                    <w:jc w:val="center"/>
                    <w:rPr>
                      <w:b/>
                      <w:szCs w:val="21"/>
                    </w:rPr>
                  </w:pPr>
                  <w:r>
                    <w:rPr>
                      <w:b/>
                      <w:szCs w:val="21"/>
                    </w:rPr>
                    <w:t>温度</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59" w:hRule="atLeast"/>
              </w:trPr>
              <w:tc>
                <w:tcPr>
                  <w:tcW w:w="376"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770"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151" w:type="dxa"/>
                  <w:vMerge w:val="continue"/>
                  <w:tcBorders>
                    <w:tl2br w:val="nil"/>
                    <w:tr2bl w:val="nil"/>
                  </w:tcBorders>
                  <w:tcMar>
                    <w:top w:w="57" w:type="dxa"/>
                    <w:bottom w:w="57" w:type="dxa"/>
                  </w:tcMar>
                  <w:vAlign w:val="center"/>
                </w:tcPr>
                <w:p>
                  <w:pPr>
                    <w:jc w:val="center"/>
                    <w:rPr>
                      <w:bCs/>
                      <w:szCs w:val="21"/>
                    </w:rPr>
                  </w:pPr>
                </w:p>
              </w:tc>
              <w:tc>
                <w:tcPr>
                  <w:tcW w:w="739" w:type="dxa"/>
                  <w:vMerge w:val="continue"/>
                  <w:tcBorders>
                    <w:tl2br w:val="nil"/>
                    <w:tr2bl w:val="nil"/>
                  </w:tcBorders>
                  <w:tcMar>
                    <w:top w:w="57" w:type="dxa"/>
                    <w:bottom w:w="57" w:type="dxa"/>
                  </w:tcMar>
                  <w:vAlign w:val="center"/>
                </w:tcPr>
                <w:p>
                  <w:pPr>
                    <w:jc w:val="center"/>
                    <w:rPr>
                      <w:bCs/>
                      <w:szCs w:val="21"/>
                    </w:rPr>
                  </w:pPr>
                </w:p>
              </w:tc>
              <w:tc>
                <w:tcPr>
                  <w:tcW w:w="1421" w:type="dxa"/>
                  <w:tcBorders>
                    <w:tl2br w:val="nil"/>
                    <w:tr2bl w:val="nil"/>
                  </w:tcBorders>
                  <w:tcMar>
                    <w:top w:w="57" w:type="dxa"/>
                    <w:bottom w:w="57" w:type="dxa"/>
                  </w:tcMar>
                  <w:vAlign w:val="center"/>
                </w:tcPr>
                <w:p>
                  <w:pPr>
                    <w:jc w:val="center"/>
                    <w:rPr>
                      <w:b/>
                      <w:szCs w:val="21"/>
                    </w:rPr>
                  </w:pPr>
                  <w:r>
                    <w:rPr>
                      <w:rFonts w:hint="eastAsia"/>
                      <w:b/>
                      <w:szCs w:val="21"/>
                    </w:rPr>
                    <w:t>经度</w:t>
                  </w:r>
                </w:p>
              </w:tc>
              <w:tc>
                <w:tcPr>
                  <w:tcW w:w="1365" w:type="dxa"/>
                  <w:tcBorders>
                    <w:tl2br w:val="nil"/>
                    <w:tr2bl w:val="nil"/>
                  </w:tcBorders>
                  <w:vAlign w:val="center"/>
                </w:tcPr>
                <w:p>
                  <w:pPr>
                    <w:jc w:val="center"/>
                    <w:rPr>
                      <w:b/>
                      <w:szCs w:val="21"/>
                    </w:rPr>
                  </w:pPr>
                  <w:r>
                    <w:rPr>
                      <w:rFonts w:hint="eastAsia"/>
                      <w:b/>
                      <w:szCs w:val="21"/>
                    </w:rPr>
                    <w:t>纬度</w:t>
                  </w:r>
                </w:p>
              </w:tc>
              <w:tc>
                <w:tcPr>
                  <w:tcW w:w="660" w:type="dxa"/>
                  <w:vMerge w:val="continue"/>
                  <w:tcBorders>
                    <w:tl2br w:val="nil"/>
                    <w:tr2bl w:val="nil"/>
                  </w:tcBorders>
                  <w:vAlign w:val="center"/>
                </w:tcPr>
                <w:p>
                  <w:pPr>
                    <w:jc w:val="center"/>
                    <w:rPr>
                      <w:bCs/>
                      <w:szCs w:val="21"/>
                    </w:rPr>
                  </w:pPr>
                </w:p>
              </w:tc>
              <w:tc>
                <w:tcPr>
                  <w:tcW w:w="838" w:type="dxa"/>
                  <w:vMerge w:val="continue"/>
                  <w:tcBorders>
                    <w:tl2br w:val="nil"/>
                    <w:tr2bl w:val="nil"/>
                  </w:tcBorders>
                  <w:vAlign w:val="center"/>
                </w:tcPr>
                <w:p>
                  <w:pPr>
                    <w:jc w:val="center"/>
                    <w:rPr>
                      <w:bCs/>
                      <w:szCs w:val="21"/>
                    </w:rPr>
                  </w:pPr>
                </w:p>
              </w:tc>
              <w:tc>
                <w:tcPr>
                  <w:tcW w:w="595" w:type="dxa"/>
                  <w:vMerge w:val="continue"/>
                  <w:tcBorders>
                    <w:tl2br w:val="nil"/>
                    <w:tr2bl w:val="nil"/>
                  </w:tcBorders>
                  <w:vAlign w:val="center"/>
                </w:tcPr>
                <w:p>
                  <w:pPr>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trPr>
              <w:tc>
                <w:tcPr>
                  <w:tcW w:w="376"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1</w:t>
                  </w:r>
                </w:p>
              </w:tc>
              <w:tc>
                <w:tcPr>
                  <w:tcW w:w="770"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DA001</w:t>
                  </w:r>
                </w:p>
              </w:tc>
              <w:tc>
                <w:tcPr>
                  <w:tcW w:w="1151" w:type="dxa"/>
                  <w:tcBorders>
                    <w:tl2br w:val="nil"/>
                    <w:tr2bl w:val="nil"/>
                  </w:tcBorders>
                  <w:tcMar>
                    <w:top w:w="57" w:type="dxa"/>
                    <w:bottom w:w="57" w:type="dxa"/>
                  </w:tcMar>
                  <w:vAlign w:val="center"/>
                </w:tcPr>
                <w:p>
                  <w:pPr>
                    <w:jc w:val="center"/>
                    <w:rPr>
                      <w:bCs/>
                      <w:szCs w:val="21"/>
                    </w:rPr>
                  </w:pPr>
                  <w:r>
                    <w:rPr>
                      <w:rFonts w:hint="eastAsia"/>
                      <w:bCs/>
                      <w:szCs w:val="21"/>
                    </w:rPr>
                    <w:t>上料、破碎工序废气排放口</w:t>
                  </w:r>
                </w:p>
              </w:tc>
              <w:tc>
                <w:tcPr>
                  <w:tcW w:w="739" w:type="dxa"/>
                  <w:tcBorders>
                    <w:tl2br w:val="nil"/>
                    <w:tr2bl w:val="nil"/>
                  </w:tcBorders>
                  <w:tcMar>
                    <w:top w:w="57" w:type="dxa"/>
                    <w:bottom w:w="57" w:type="dxa"/>
                  </w:tcMar>
                  <w:vAlign w:val="center"/>
                </w:tcPr>
                <w:p>
                  <w:pPr>
                    <w:autoSpaceDE w:val="0"/>
                    <w:autoSpaceDN w:val="0"/>
                    <w:adjustRightInd w:val="0"/>
                    <w:jc w:val="center"/>
                    <w:rPr>
                      <w:rFonts w:cs="宋体"/>
                      <w:kern w:val="0"/>
                      <w:szCs w:val="21"/>
                    </w:rPr>
                  </w:pPr>
                  <w:r>
                    <w:rPr>
                      <w:rFonts w:hint="eastAsia" w:cs="宋体"/>
                      <w:kern w:val="0"/>
                      <w:szCs w:val="21"/>
                    </w:rPr>
                    <w:t>颗粒物</w:t>
                  </w:r>
                </w:p>
              </w:tc>
              <w:tc>
                <w:tcPr>
                  <w:tcW w:w="1421" w:type="dxa"/>
                  <w:tcBorders>
                    <w:tl2br w:val="nil"/>
                    <w:tr2bl w:val="nil"/>
                  </w:tcBorders>
                  <w:tcMar>
                    <w:top w:w="57" w:type="dxa"/>
                    <w:bottom w:w="57" w:type="dxa"/>
                  </w:tcMar>
                  <w:vAlign w:val="center"/>
                </w:tcPr>
                <w:p>
                  <w:pPr>
                    <w:pStyle w:val="7"/>
                    <w:spacing w:line="260" w:lineRule="auto"/>
                    <w:ind w:firstLine="0" w:firstLineChars="0"/>
                  </w:pPr>
                  <w:r>
                    <w:t>112°55′39.16″</w:t>
                  </w:r>
                </w:p>
              </w:tc>
              <w:tc>
                <w:tcPr>
                  <w:tcW w:w="1365" w:type="dxa"/>
                  <w:tcBorders>
                    <w:tl2br w:val="nil"/>
                    <w:tr2bl w:val="nil"/>
                  </w:tcBorders>
                  <w:vAlign w:val="center"/>
                </w:tcPr>
                <w:p>
                  <w:pPr>
                    <w:pStyle w:val="7"/>
                    <w:spacing w:line="260" w:lineRule="auto"/>
                    <w:ind w:firstLine="0" w:firstLineChars="0"/>
                  </w:pPr>
                  <w:r>
                    <w:t>33°47′43.05″</w:t>
                  </w:r>
                </w:p>
              </w:tc>
              <w:tc>
                <w:tcPr>
                  <w:tcW w:w="660" w:type="dxa"/>
                  <w:tcBorders>
                    <w:tl2br w:val="nil"/>
                    <w:tr2bl w:val="nil"/>
                  </w:tcBorders>
                  <w:vAlign w:val="center"/>
                </w:tcPr>
                <w:p>
                  <w:pPr>
                    <w:jc w:val="center"/>
                    <w:rPr>
                      <w:bCs/>
                      <w:szCs w:val="21"/>
                    </w:rPr>
                  </w:pPr>
                  <w:r>
                    <w:rPr>
                      <w:rFonts w:hint="eastAsia"/>
                      <w:bCs/>
                      <w:szCs w:val="21"/>
                    </w:rPr>
                    <w:t>15</w:t>
                  </w:r>
                </w:p>
              </w:tc>
              <w:tc>
                <w:tcPr>
                  <w:tcW w:w="838" w:type="dxa"/>
                  <w:tcBorders>
                    <w:tl2br w:val="nil"/>
                    <w:tr2bl w:val="nil"/>
                  </w:tcBorders>
                  <w:vAlign w:val="center"/>
                </w:tcPr>
                <w:p>
                  <w:pPr>
                    <w:jc w:val="center"/>
                    <w:rPr>
                      <w:bCs/>
                      <w:szCs w:val="21"/>
                    </w:rPr>
                  </w:pPr>
                  <w:r>
                    <w:rPr>
                      <w:rFonts w:hint="eastAsia"/>
                      <w:bCs/>
                      <w:szCs w:val="21"/>
                    </w:rPr>
                    <w:t>0.5</w:t>
                  </w:r>
                </w:p>
              </w:tc>
              <w:tc>
                <w:tcPr>
                  <w:tcW w:w="595" w:type="dxa"/>
                  <w:tcBorders>
                    <w:tl2br w:val="nil"/>
                    <w:tr2bl w:val="nil"/>
                  </w:tcBorders>
                  <w:vAlign w:val="center"/>
                </w:tcPr>
                <w:p>
                  <w:pPr>
                    <w:jc w:val="center"/>
                    <w:rPr>
                      <w:bCs/>
                      <w:szCs w:val="21"/>
                    </w:rPr>
                  </w:pPr>
                  <w:r>
                    <w:rPr>
                      <w:rFonts w:hint="eastAsia"/>
                      <w:bCs/>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trPr>
              <w:tc>
                <w:tcPr>
                  <w:tcW w:w="376"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2</w:t>
                  </w:r>
                </w:p>
              </w:tc>
              <w:tc>
                <w:tcPr>
                  <w:tcW w:w="770"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DA002</w:t>
                  </w:r>
                </w:p>
              </w:tc>
              <w:tc>
                <w:tcPr>
                  <w:tcW w:w="1151" w:type="dxa"/>
                  <w:tcBorders>
                    <w:tl2br w:val="nil"/>
                    <w:tr2bl w:val="nil"/>
                  </w:tcBorders>
                  <w:tcMar>
                    <w:top w:w="57" w:type="dxa"/>
                    <w:bottom w:w="57" w:type="dxa"/>
                  </w:tcMar>
                  <w:vAlign w:val="center"/>
                </w:tcPr>
                <w:p>
                  <w:pPr>
                    <w:jc w:val="center"/>
                    <w:rPr>
                      <w:rFonts w:hint="eastAsia" w:eastAsia="宋体"/>
                      <w:bCs/>
                      <w:szCs w:val="21"/>
                      <w:lang w:val="en-US" w:eastAsia="zh-CN"/>
                    </w:rPr>
                  </w:pPr>
                  <w:r>
                    <w:rPr>
                      <w:rFonts w:hint="eastAsia"/>
                      <w:bCs/>
                      <w:szCs w:val="21"/>
                    </w:rPr>
                    <w:t>烘干</w:t>
                  </w:r>
                  <w:r>
                    <w:rPr>
                      <w:bCs/>
                      <w:szCs w:val="21"/>
                    </w:rPr>
                    <w:t>废气</w:t>
                  </w:r>
                  <w:r>
                    <w:rPr>
                      <w:rFonts w:hint="eastAsia"/>
                      <w:bCs/>
                      <w:szCs w:val="21"/>
                      <w:lang w:val="en-US" w:eastAsia="zh-CN"/>
                    </w:rPr>
                    <w:t>排放口</w:t>
                  </w:r>
                </w:p>
              </w:tc>
              <w:tc>
                <w:tcPr>
                  <w:tcW w:w="739" w:type="dxa"/>
                  <w:tcBorders>
                    <w:tl2br w:val="nil"/>
                    <w:tr2bl w:val="nil"/>
                  </w:tcBorders>
                  <w:tcMar>
                    <w:top w:w="57" w:type="dxa"/>
                    <w:bottom w:w="57" w:type="dxa"/>
                  </w:tcMar>
                  <w:vAlign w:val="center"/>
                </w:tcPr>
                <w:p>
                  <w:pPr>
                    <w:autoSpaceDE w:val="0"/>
                    <w:autoSpaceDN w:val="0"/>
                    <w:adjustRightInd w:val="0"/>
                    <w:jc w:val="center"/>
                    <w:rPr>
                      <w:rFonts w:cs="宋体"/>
                      <w:kern w:val="0"/>
                      <w:szCs w:val="21"/>
                    </w:rPr>
                  </w:pPr>
                  <w:r>
                    <w:rPr>
                      <w:rFonts w:hint="eastAsia" w:cs="宋体"/>
                      <w:kern w:val="0"/>
                      <w:szCs w:val="21"/>
                    </w:rPr>
                    <w:t>颗粒物、SO</w:t>
                  </w:r>
                  <w:r>
                    <w:rPr>
                      <w:rFonts w:hint="eastAsia" w:cs="宋体"/>
                      <w:kern w:val="0"/>
                      <w:szCs w:val="21"/>
                      <w:vertAlign w:val="subscript"/>
                    </w:rPr>
                    <w:t>2</w:t>
                  </w:r>
                  <w:r>
                    <w:rPr>
                      <w:rFonts w:hint="eastAsia" w:cs="宋体"/>
                      <w:kern w:val="0"/>
                      <w:szCs w:val="21"/>
                    </w:rPr>
                    <w:t>、NOx</w:t>
                  </w:r>
                </w:p>
              </w:tc>
              <w:tc>
                <w:tcPr>
                  <w:tcW w:w="1421" w:type="dxa"/>
                  <w:tcBorders>
                    <w:tl2br w:val="nil"/>
                    <w:tr2bl w:val="nil"/>
                  </w:tcBorders>
                  <w:tcMar>
                    <w:top w:w="57" w:type="dxa"/>
                    <w:bottom w:w="57" w:type="dxa"/>
                  </w:tcMar>
                  <w:vAlign w:val="center"/>
                </w:tcPr>
                <w:p>
                  <w:pPr>
                    <w:pStyle w:val="7"/>
                    <w:spacing w:line="260" w:lineRule="auto"/>
                    <w:ind w:firstLine="0" w:firstLineChars="0"/>
                  </w:pPr>
                  <w:r>
                    <w:t>112°55′42.98″</w:t>
                  </w:r>
                </w:p>
              </w:tc>
              <w:tc>
                <w:tcPr>
                  <w:tcW w:w="1365" w:type="dxa"/>
                  <w:tcBorders>
                    <w:tl2br w:val="nil"/>
                    <w:tr2bl w:val="nil"/>
                  </w:tcBorders>
                  <w:vAlign w:val="center"/>
                </w:tcPr>
                <w:p>
                  <w:pPr>
                    <w:pStyle w:val="7"/>
                    <w:spacing w:line="260" w:lineRule="auto"/>
                    <w:ind w:firstLine="0" w:firstLineChars="0"/>
                  </w:pPr>
                  <w:r>
                    <w:t>33°47′45.24″</w:t>
                  </w:r>
                </w:p>
              </w:tc>
              <w:tc>
                <w:tcPr>
                  <w:tcW w:w="660" w:type="dxa"/>
                  <w:tcBorders>
                    <w:tl2br w:val="nil"/>
                    <w:tr2bl w:val="nil"/>
                  </w:tcBorders>
                  <w:vAlign w:val="center"/>
                </w:tcPr>
                <w:p>
                  <w:pPr>
                    <w:jc w:val="center"/>
                    <w:rPr>
                      <w:bCs/>
                      <w:szCs w:val="21"/>
                    </w:rPr>
                  </w:pPr>
                  <w:r>
                    <w:rPr>
                      <w:rFonts w:hint="eastAsia"/>
                      <w:bCs/>
                      <w:szCs w:val="21"/>
                    </w:rPr>
                    <w:t>15</w:t>
                  </w:r>
                </w:p>
              </w:tc>
              <w:tc>
                <w:tcPr>
                  <w:tcW w:w="838" w:type="dxa"/>
                  <w:tcBorders>
                    <w:tl2br w:val="nil"/>
                    <w:tr2bl w:val="nil"/>
                  </w:tcBorders>
                  <w:vAlign w:val="center"/>
                </w:tcPr>
                <w:p>
                  <w:pPr>
                    <w:jc w:val="center"/>
                    <w:rPr>
                      <w:bCs/>
                      <w:szCs w:val="21"/>
                    </w:rPr>
                  </w:pPr>
                  <w:r>
                    <w:rPr>
                      <w:rFonts w:hint="eastAsia"/>
                      <w:bCs/>
                      <w:szCs w:val="21"/>
                    </w:rPr>
                    <w:t>0.6</w:t>
                  </w:r>
                </w:p>
              </w:tc>
              <w:tc>
                <w:tcPr>
                  <w:tcW w:w="595" w:type="dxa"/>
                  <w:tcBorders>
                    <w:tl2br w:val="nil"/>
                    <w:tr2bl w:val="nil"/>
                  </w:tcBorders>
                  <w:vAlign w:val="center"/>
                </w:tcPr>
                <w:p>
                  <w:pPr>
                    <w:jc w:val="center"/>
                    <w:rPr>
                      <w:bCs/>
                      <w:szCs w:val="21"/>
                    </w:rPr>
                  </w:pPr>
                  <w:r>
                    <w:rPr>
                      <w:rFonts w:hint="eastAsia"/>
                      <w:bCs/>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567" w:hRule="atLeast"/>
              </w:trPr>
              <w:tc>
                <w:tcPr>
                  <w:tcW w:w="376" w:type="dxa"/>
                  <w:tcBorders>
                    <w:tl2br w:val="nil"/>
                    <w:tr2bl w:val="nil"/>
                  </w:tcBorders>
                  <w:tcMar>
                    <w:top w:w="57" w:type="dxa"/>
                    <w:left w:w="28" w:type="dxa"/>
                    <w:bottom w:w="57" w:type="dxa"/>
                    <w:right w:w="28" w:type="dxa"/>
                  </w:tcMar>
                  <w:vAlign w:val="center"/>
                </w:tcPr>
                <w:p>
                  <w:pPr>
                    <w:jc w:val="center"/>
                    <w:rPr>
                      <w:rFonts w:hint="eastAsia" w:eastAsia="宋体"/>
                      <w:b/>
                      <w:bCs w:val="0"/>
                      <w:szCs w:val="21"/>
                      <w:u w:val="single"/>
                      <w:lang w:val="en-US" w:eastAsia="zh-CN"/>
                    </w:rPr>
                  </w:pPr>
                  <w:r>
                    <w:rPr>
                      <w:rFonts w:hint="eastAsia"/>
                      <w:b/>
                      <w:bCs w:val="0"/>
                      <w:szCs w:val="21"/>
                      <w:u w:val="single"/>
                      <w:lang w:val="en-US" w:eastAsia="zh-CN"/>
                    </w:rPr>
                    <w:t>3</w:t>
                  </w:r>
                </w:p>
              </w:tc>
              <w:tc>
                <w:tcPr>
                  <w:tcW w:w="770" w:type="dxa"/>
                  <w:tcBorders>
                    <w:tl2br w:val="nil"/>
                    <w:tr2bl w:val="nil"/>
                  </w:tcBorders>
                  <w:tcMar>
                    <w:top w:w="57" w:type="dxa"/>
                    <w:left w:w="28" w:type="dxa"/>
                    <w:bottom w:w="57" w:type="dxa"/>
                    <w:right w:w="28" w:type="dxa"/>
                  </w:tcMar>
                  <w:vAlign w:val="center"/>
                </w:tcPr>
                <w:p>
                  <w:pPr>
                    <w:jc w:val="center"/>
                    <w:rPr>
                      <w:rFonts w:hint="eastAsia" w:eastAsia="宋体"/>
                      <w:b/>
                      <w:bCs w:val="0"/>
                      <w:szCs w:val="21"/>
                      <w:u w:val="single"/>
                      <w:lang w:val="en-US" w:eastAsia="zh-CN"/>
                    </w:rPr>
                  </w:pPr>
                  <w:r>
                    <w:rPr>
                      <w:rFonts w:hint="eastAsia"/>
                      <w:b/>
                      <w:bCs w:val="0"/>
                      <w:szCs w:val="21"/>
                      <w:u w:val="single"/>
                      <w:lang w:val="en-US" w:eastAsia="zh-CN"/>
                    </w:rPr>
                    <w:t>DA003</w:t>
                  </w:r>
                </w:p>
              </w:tc>
              <w:tc>
                <w:tcPr>
                  <w:tcW w:w="1151" w:type="dxa"/>
                  <w:tcBorders>
                    <w:tl2br w:val="nil"/>
                    <w:tr2bl w:val="nil"/>
                  </w:tcBorders>
                  <w:tcMar>
                    <w:top w:w="57" w:type="dxa"/>
                    <w:bottom w:w="57" w:type="dxa"/>
                  </w:tcMar>
                  <w:vAlign w:val="center"/>
                </w:tcPr>
                <w:p>
                  <w:pPr>
                    <w:jc w:val="center"/>
                    <w:rPr>
                      <w:rFonts w:hint="eastAsia"/>
                      <w:b/>
                      <w:bCs w:val="0"/>
                      <w:szCs w:val="21"/>
                      <w:u w:val="single"/>
                    </w:rPr>
                  </w:pPr>
                  <w:r>
                    <w:rPr>
                      <w:rFonts w:hint="eastAsia"/>
                      <w:b/>
                      <w:bCs w:val="0"/>
                      <w:szCs w:val="21"/>
                      <w:u w:val="single"/>
                      <w:lang w:eastAsia="zh-CN"/>
                    </w:rPr>
                    <w:t>成品料仓废气、包装工序废气</w:t>
                  </w:r>
                  <w:r>
                    <w:rPr>
                      <w:b/>
                      <w:bCs w:val="0"/>
                      <w:szCs w:val="21"/>
                      <w:u w:val="single"/>
                    </w:rPr>
                    <w:t>排放口</w:t>
                  </w:r>
                </w:p>
              </w:tc>
              <w:tc>
                <w:tcPr>
                  <w:tcW w:w="739" w:type="dxa"/>
                  <w:tcBorders>
                    <w:tl2br w:val="nil"/>
                    <w:tr2bl w:val="nil"/>
                  </w:tcBorders>
                  <w:tcMar>
                    <w:top w:w="57" w:type="dxa"/>
                    <w:bottom w:w="57" w:type="dxa"/>
                  </w:tcMar>
                  <w:vAlign w:val="center"/>
                </w:tcPr>
                <w:p>
                  <w:pPr>
                    <w:autoSpaceDE w:val="0"/>
                    <w:autoSpaceDN w:val="0"/>
                    <w:adjustRightInd w:val="0"/>
                    <w:jc w:val="center"/>
                    <w:rPr>
                      <w:rFonts w:hint="eastAsia" w:eastAsia="宋体" w:cs="宋体"/>
                      <w:b/>
                      <w:bCs w:val="0"/>
                      <w:kern w:val="0"/>
                      <w:szCs w:val="21"/>
                      <w:u w:val="single"/>
                      <w:lang w:val="en-US" w:eastAsia="zh-CN"/>
                    </w:rPr>
                  </w:pPr>
                  <w:r>
                    <w:rPr>
                      <w:rFonts w:hint="eastAsia" w:cs="宋体"/>
                      <w:b/>
                      <w:bCs w:val="0"/>
                      <w:kern w:val="0"/>
                      <w:szCs w:val="21"/>
                      <w:u w:val="single"/>
                      <w:lang w:val="en-US" w:eastAsia="zh-CN"/>
                    </w:rPr>
                    <w:t>颗粒物</w:t>
                  </w:r>
                </w:p>
              </w:tc>
              <w:tc>
                <w:tcPr>
                  <w:tcW w:w="1421" w:type="dxa"/>
                  <w:tcBorders>
                    <w:tl2br w:val="nil"/>
                    <w:tr2bl w:val="nil"/>
                  </w:tcBorders>
                  <w:tcMar>
                    <w:top w:w="57" w:type="dxa"/>
                    <w:bottom w:w="57" w:type="dxa"/>
                  </w:tcMar>
                  <w:vAlign w:val="center"/>
                </w:tcPr>
                <w:p>
                  <w:pPr>
                    <w:pStyle w:val="7"/>
                    <w:spacing w:line="260" w:lineRule="auto"/>
                    <w:ind w:firstLine="0" w:firstLineChars="0"/>
                    <w:rPr>
                      <w:rFonts w:hint="default" w:ascii="Times New Roman" w:hAnsi="Times New Roman" w:cs="Times New Roman"/>
                      <w:b/>
                      <w:bCs w:val="0"/>
                      <w:u w:val="single"/>
                    </w:rPr>
                  </w:pPr>
                  <w:r>
                    <w:rPr>
                      <w:rFonts w:hint="default" w:ascii="Times New Roman" w:hAnsi="Times New Roman" w:cs="Times New Roman"/>
                      <w:b/>
                      <w:bCs w:val="0"/>
                      <w:u w:val="single"/>
                    </w:rPr>
                    <w:t>112°55′39.44″</w:t>
                  </w:r>
                </w:p>
              </w:tc>
              <w:tc>
                <w:tcPr>
                  <w:tcW w:w="1365" w:type="dxa"/>
                  <w:tcBorders>
                    <w:tl2br w:val="nil"/>
                    <w:tr2bl w:val="nil"/>
                  </w:tcBorders>
                  <w:vAlign w:val="center"/>
                </w:tcPr>
                <w:p>
                  <w:pPr>
                    <w:pStyle w:val="7"/>
                    <w:spacing w:line="260" w:lineRule="auto"/>
                    <w:ind w:firstLine="0" w:firstLineChars="0"/>
                    <w:rPr>
                      <w:rFonts w:hint="default" w:ascii="Times New Roman" w:hAnsi="Times New Roman" w:cs="Times New Roman"/>
                      <w:b/>
                      <w:bCs w:val="0"/>
                      <w:u w:val="single"/>
                    </w:rPr>
                  </w:pPr>
                  <w:r>
                    <w:rPr>
                      <w:rFonts w:hint="default" w:ascii="Times New Roman" w:hAnsi="Times New Roman" w:cs="Times New Roman"/>
                      <w:b/>
                      <w:bCs w:val="0"/>
                      <w:u w:val="single"/>
                    </w:rPr>
                    <w:t>33°47′44.52″</w:t>
                  </w:r>
                </w:p>
              </w:tc>
              <w:tc>
                <w:tcPr>
                  <w:tcW w:w="660" w:type="dxa"/>
                  <w:tcBorders>
                    <w:tl2br w:val="nil"/>
                    <w:tr2bl w:val="nil"/>
                  </w:tcBorders>
                  <w:vAlign w:val="center"/>
                </w:tcPr>
                <w:p>
                  <w:pPr>
                    <w:jc w:val="center"/>
                    <w:rPr>
                      <w:rFonts w:hint="eastAsia" w:eastAsia="宋体"/>
                      <w:b/>
                      <w:bCs w:val="0"/>
                      <w:szCs w:val="21"/>
                      <w:u w:val="single"/>
                      <w:lang w:val="en-US" w:eastAsia="zh-CN"/>
                    </w:rPr>
                  </w:pPr>
                  <w:r>
                    <w:rPr>
                      <w:rFonts w:hint="eastAsia"/>
                      <w:b/>
                      <w:bCs w:val="0"/>
                      <w:szCs w:val="21"/>
                      <w:u w:val="single"/>
                      <w:lang w:val="en-US" w:eastAsia="zh-CN"/>
                    </w:rPr>
                    <w:t>15</w:t>
                  </w:r>
                </w:p>
              </w:tc>
              <w:tc>
                <w:tcPr>
                  <w:tcW w:w="838" w:type="dxa"/>
                  <w:tcBorders>
                    <w:tl2br w:val="nil"/>
                    <w:tr2bl w:val="nil"/>
                  </w:tcBorders>
                  <w:vAlign w:val="center"/>
                </w:tcPr>
                <w:p>
                  <w:pPr>
                    <w:jc w:val="center"/>
                    <w:rPr>
                      <w:rFonts w:hint="eastAsia" w:eastAsia="宋体"/>
                      <w:b/>
                      <w:bCs w:val="0"/>
                      <w:szCs w:val="21"/>
                      <w:u w:val="single"/>
                      <w:lang w:val="en-US" w:eastAsia="zh-CN"/>
                    </w:rPr>
                  </w:pPr>
                  <w:r>
                    <w:rPr>
                      <w:rFonts w:hint="eastAsia"/>
                      <w:b/>
                      <w:bCs w:val="0"/>
                      <w:szCs w:val="21"/>
                      <w:u w:val="single"/>
                      <w:lang w:val="en-US" w:eastAsia="zh-CN"/>
                    </w:rPr>
                    <w:t>0.2</w:t>
                  </w:r>
                </w:p>
              </w:tc>
              <w:tc>
                <w:tcPr>
                  <w:tcW w:w="595" w:type="dxa"/>
                  <w:tcBorders>
                    <w:tl2br w:val="nil"/>
                    <w:tr2bl w:val="nil"/>
                  </w:tcBorders>
                  <w:vAlign w:val="center"/>
                </w:tcPr>
                <w:p>
                  <w:pPr>
                    <w:jc w:val="center"/>
                    <w:rPr>
                      <w:rFonts w:hint="eastAsia" w:eastAsia="宋体"/>
                      <w:b/>
                      <w:bCs w:val="0"/>
                      <w:szCs w:val="21"/>
                      <w:u w:val="single"/>
                      <w:lang w:val="en-US" w:eastAsia="zh-CN"/>
                    </w:rPr>
                  </w:pPr>
                  <w:r>
                    <w:rPr>
                      <w:rFonts w:hint="eastAsia"/>
                      <w:b/>
                      <w:bCs w:val="0"/>
                      <w:szCs w:val="21"/>
                      <w:u w:val="single"/>
                      <w:lang w:val="en-US" w:eastAsia="zh-CN"/>
                    </w:rPr>
                    <w:t>25</w:t>
                  </w:r>
                </w:p>
              </w:tc>
            </w:tr>
          </w:tbl>
          <w:p>
            <w:pPr>
              <w:spacing w:before="120" w:beforeLines="50" w:line="360" w:lineRule="auto"/>
              <w:ind w:firstLine="482" w:firstLineChars="200"/>
              <w:rPr>
                <w:b/>
                <w:bCs/>
                <w:snapToGrid w:val="0"/>
                <w:kern w:val="0"/>
                <w:sz w:val="24"/>
              </w:rPr>
            </w:pPr>
            <w:r>
              <w:rPr>
                <w:rFonts w:hint="eastAsia"/>
                <w:b/>
                <w:bCs/>
                <w:snapToGrid w:val="0"/>
                <w:kern w:val="0"/>
                <w:sz w:val="24"/>
              </w:rPr>
              <w:t>1.3废气排放标准</w:t>
            </w:r>
          </w:p>
          <w:p>
            <w:pPr>
              <w:autoSpaceDE w:val="0"/>
              <w:autoSpaceDN w:val="0"/>
              <w:adjustRightInd w:val="0"/>
              <w:spacing w:line="360" w:lineRule="auto"/>
              <w:ind w:firstLine="480" w:firstLineChars="200"/>
              <w:jc w:val="left"/>
              <w:rPr>
                <w:sz w:val="24"/>
              </w:rPr>
            </w:pPr>
            <w:r>
              <w:rPr>
                <w:rFonts w:hint="eastAsia"/>
                <w:sz w:val="24"/>
              </w:rPr>
              <w:t>废气</w:t>
            </w:r>
            <w:r>
              <w:rPr>
                <w:sz w:val="24"/>
              </w:rPr>
              <w:t>排放标准见表</w:t>
            </w:r>
            <w:r>
              <w:rPr>
                <w:rFonts w:hint="eastAsia"/>
                <w:sz w:val="24"/>
              </w:rPr>
              <w:t>4-1</w:t>
            </w:r>
            <w:r>
              <w:rPr>
                <w:rFonts w:hint="eastAsia"/>
                <w:sz w:val="24"/>
                <w:lang w:val="en-US" w:eastAsia="zh-CN"/>
              </w:rPr>
              <w:t>2</w:t>
            </w:r>
            <w:r>
              <w:rPr>
                <w:rFonts w:hint="eastAsia"/>
                <w:sz w:val="24"/>
              </w:rPr>
              <w:t>。</w:t>
            </w:r>
          </w:p>
          <w:p>
            <w:pPr>
              <w:pStyle w:val="44"/>
              <w:spacing w:line="360" w:lineRule="auto"/>
              <w:rPr>
                <w:rFonts w:eastAsia="宋体"/>
                <w:sz w:val="24"/>
                <w:szCs w:val="24"/>
              </w:rPr>
            </w:pPr>
            <w:r>
              <w:rPr>
                <w:rFonts w:hint="eastAsia" w:eastAsia="宋体"/>
                <w:sz w:val="24"/>
                <w:szCs w:val="24"/>
              </w:rPr>
              <w:t>表4-1</w:t>
            </w:r>
            <w:r>
              <w:rPr>
                <w:rFonts w:hint="eastAsia" w:eastAsia="宋体"/>
                <w:sz w:val="24"/>
                <w:szCs w:val="24"/>
                <w:lang w:val="en-US" w:eastAsia="zh-CN"/>
              </w:rPr>
              <w:t>2</w:t>
            </w:r>
            <w:r>
              <w:rPr>
                <w:rFonts w:hint="eastAsia" w:eastAsia="宋体"/>
                <w:sz w:val="24"/>
                <w:szCs w:val="24"/>
              </w:rPr>
              <w:t xml:space="preserve">    废气排放标准</w:t>
            </w:r>
          </w:p>
          <w:tbl>
            <w:tblPr>
              <w:tblStyle w:val="26"/>
              <w:tblW w:w="7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05"/>
              <w:gridCol w:w="1231"/>
              <w:gridCol w:w="1380"/>
              <w:gridCol w:w="1180"/>
              <w:gridCol w:w="2540"/>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56" w:hRule="atLeast"/>
              </w:trPr>
              <w:tc>
                <w:tcPr>
                  <w:tcW w:w="505" w:type="dxa"/>
                  <w:vMerge w:val="restart"/>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序号</w:t>
                  </w:r>
                </w:p>
              </w:tc>
              <w:tc>
                <w:tcPr>
                  <w:tcW w:w="1231" w:type="dxa"/>
                  <w:vMerge w:val="restart"/>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排放口</w:t>
                  </w:r>
                  <w:r>
                    <w:rPr>
                      <w:b/>
                      <w:szCs w:val="21"/>
                    </w:rPr>
                    <w:t>编号</w:t>
                  </w:r>
                </w:p>
              </w:tc>
              <w:tc>
                <w:tcPr>
                  <w:tcW w:w="1380" w:type="dxa"/>
                  <w:vMerge w:val="restart"/>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排放口</w:t>
                  </w:r>
                  <w:r>
                    <w:rPr>
                      <w:b/>
                      <w:szCs w:val="21"/>
                    </w:rPr>
                    <w:t>名称</w:t>
                  </w:r>
                </w:p>
              </w:tc>
              <w:tc>
                <w:tcPr>
                  <w:tcW w:w="1180" w:type="dxa"/>
                  <w:vMerge w:val="restart"/>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污染物</w:t>
                  </w:r>
                  <w:r>
                    <w:rPr>
                      <w:b/>
                      <w:szCs w:val="21"/>
                    </w:rPr>
                    <w:t>种类</w:t>
                  </w:r>
                </w:p>
              </w:tc>
              <w:tc>
                <w:tcPr>
                  <w:tcW w:w="3619" w:type="dxa"/>
                  <w:gridSpan w:val="2"/>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国家</w:t>
                  </w:r>
                  <w:r>
                    <w:rPr>
                      <w:b/>
                      <w:szCs w:val="21"/>
                    </w:rPr>
                    <w:t>或地方污染物排放</w:t>
                  </w:r>
                  <w:r>
                    <w:rPr>
                      <w:rFonts w:hint="eastAsia"/>
                      <w:b/>
                      <w:szCs w:val="21"/>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0" w:hRule="atLeast"/>
              </w:trPr>
              <w:tc>
                <w:tcPr>
                  <w:tcW w:w="505" w:type="dxa"/>
                  <w:vMerge w:val="continue"/>
                  <w:tcBorders>
                    <w:tl2br w:val="nil"/>
                    <w:tr2bl w:val="nil"/>
                  </w:tcBorders>
                  <w:tcMar>
                    <w:top w:w="57" w:type="dxa"/>
                    <w:left w:w="28" w:type="dxa"/>
                    <w:bottom w:w="57" w:type="dxa"/>
                    <w:right w:w="28" w:type="dxa"/>
                  </w:tcMar>
                  <w:vAlign w:val="center"/>
                </w:tcPr>
                <w:p>
                  <w:pPr>
                    <w:jc w:val="center"/>
                    <w:rPr>
                      <w:b/>
                      <w:szCs w:val="21"/>
                    </w:rPr>
                  </w:pPr>
                </w:p>
              </w:tc>
              <w:tc>
                <w:tcPr>
                  <w:tcW w:w="1231" w:type="dxa"/>
                  <w:vMerge w:val="continue"/>
                  <w:tcBorders>
                    <w:tl2br w:val="nil"/>
                    <w:tr2bl w:val="nil"/>
                  </w:tcBorders>
                  <w:tcMar>
                    <w:top w:w="57" w:type="dxa"/>
                    <w:left w:w="28" w:type="dxa"/>
                    <w:bottom w:w="57" w:type="dxa"/>
                    <w:right w:w="28" w:type="dxa"/>
                  </w:tcMar>
                  <w:vAlign w:val="center"/>
                </w:tcPr>
                <w:p>
                  <w:pPr>
                    <w:jc w:val="center"/>
                    <w:rPr>
                      <w:b/>
                      <w:szCs w:val="21"/>
                    </w:rPr>
                  </w:pPr>
                </w:p>
              </w:tc>
              <w:tc>
                <w:tcPr>
                  <w:tcW w:w="1380" w:type="dxa"/>
                  <w:vMerge w:val="continue"/>
                  <w:tcBorders>
                    <w:tl2br w:val="nil"/>
                    <w:tr2bl w:val="nil"/>
                  </w:tcBorders>
                  <w:tcMar>
                    <w:top w:w="57" w:type="dxa"/>
                    <w:left w:w="28" w:type="dxa"/>
                    <w:bottom w:w="57" w:type="dxa"/>
                    <w:right w:w="28" w:type="dxa"/>
                  </w:tcMar>
                  <w:vAlign w:val="center"/>
                </w:tcPr>
                <w:p>
                  <w:pPr>
                    <w:jc w:val="center"/>
                    <w:rPr>
                      <w:b/>
                      <w:szCs w:val="21"/>
                    </w:rPr>
                  </w:pPr>
                </w:p>
              </w:tc>
              <w:tc>
                <w:tcPr>
                  <w:tcW w:w="1180" w:type="dxa"/>
                  <w:vMerge w:val="continue"/>
                  <w:tcBorders>
                    <w:tl2br w:val="nil"/>
                    <w:tr2bl w:val="nil"/>
                  </w:tcBorders>
                  <w:tcMar>
                    <w:top w:w="57" w:type="dxa"/>
                    <w:left w:w="28" w:type="dxa"/>
                    <w:bottom w:w="57" w:type="dxa"/>
                    <w:right w:w="28" w:type="dxa"/>
                  </w:tcMar>
                  <w:vAlign w:val="center"/>
                </w:tcPr>
                <w:p>
                  <w:pPr>
                    <w:jc w:val="center"/>
                    <w:rPr>
                      <w:b/>
                      <w:szCs w:val="21"/>
                    </w:rPr>
                  </w:pPr>
                </w:p>
              </w:tc>
              <w:tc>
                <w:tcPr>
                  <w:tcW w:w="2540" w:type="dxa"/>
                  <w:tcBorders>
                    <w:tl2br w:val="nil"/>
                    <w:tr2bl w:val="nil"/>
                  </w:tcBorders>
                  <w:tcMar>
                    <w:top w:w="57" w:type="dxa"/>
                    <w:left w:w="28" w:type="dxa"/>
                    <w:bottom w:w="57" w:type="dxa"/>
                    <w:right w:w="28" w:type="dxa"/>
                  </w:tcMar>
                  <w:vAlign w:val="center"/>
                </w:tcPr>
                <w:p>
                  <w:pPr>
                    <w:jc w:val="center"/>
                    <w:rPr>
                      <w:b/>
                      <w:szCs w:val="21"/>
                    </w:rPr>
                  </w:pPr>
                  <w:r>
                    <w:rPr>
                      <w:rFonts w:hint="eastAsia"/>
                      <w:b/>
                      <w:szCs w:val="21"/>
                    </w:rPr>
                    <w:t>名称</w:t>
                  </w:r>
                </w:p>
              </w:tc>
              <w:tc>
                <w:tcPr>
                  <w:tcW w:w="1079" w:type="dxa"/>
                  <w:tcBorders>
                    <w:tl2br w:val="nil"/>
                    <w:tr2bl w:val="nil"/>
                  </w:tcBorders>
                  <w:tcMar>
                    <w:left w:w="28" w:type="dxa"/>
                    <w:right w:w="28" w:type="dxa"/>
                  </w:tcMar>
                  <w:vAlign w:val="center"/>
                </w:tcPr>
                <w:p>
                  <w:pPr>
                    <w:jc w:val="center"/>
                    <w:rPr>
                      <w:b/>
                      <w:szCs w:val="21"/>
                    </w:rPr>
                  </w:pPr>
                  <w:r>
                    <w:rPr>
                      <w:rFonts w:hint="eastAsia"/>
                      <w:b/>
                      <w:szCs w:val="21"/>
                    </w:rPr>
                    <w:t>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0" w:hRule="atLeast"/>
              </w:trPr>
              <w:tc>
                <w:tcPr>
                  <w:tcW w:w="505"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1</w:t>
                  </w:r>
                </w:p>
              </w:tc>
              <w:tc>
                <w:tcPr>
                  <w:tcW w:w="1231"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DA001</w:t>
                  </w:r>
                </w:p>
              </w:tc>
              <w:tc>
                <w:tcPr>
                  <w:tcW w:w="1380" w:type="dxa"/>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上料、破碎工序废气排放口</w:t>
                  </w:r>
                </w:p>
              </w:tc>
              <w:tc>
                <w:tcPr>
                  <w:tcW w:w="1180" w:type="dxa"/>
                  <w:tcBorders>
                    <w:tl2br w:val="nil"/>
                    <w:tr2bl w:val="nil"/>
                  </w:tcBorders>
                  <w:tcMar>
                    <w:top w:w="57" w:type="dxa"/>
                    <w:left w:w="28" w:type="dxa"/>
                    <w:bottom w:w="57" w:type="dxa"/>
                    <w:right w:w="28" w:type="dxa"/>
                  </w:tcMar>
                  <w:vAlign w:val="center"/>
                </w:tcPr>
                <w:p>
                  <w:pPr>
                    <w:autoSpaceDE w:val="0"/>
                    <w:autoSpaceDN w:val="0"/>
                    <w:adjustRightInd w:val="0"/>
                    <w:jc w:val="center"/>
                    <w:rPr>
                      <w:rFonts w:cs="宋体"/>
                      <w:kern w:val="0"/>
                      <w:szCs w:val="21"/>
                    </w:rPr>
                  </w:pPr>
                  <w:r>
                    <w:rPr>
                      <w:rFonts w:hint="eastAsia" w:cs="宋体"/>
                      <w:kern w:val="0"/>
                      <w:szCs w:val="21"/>
                    </w:rPr>
                    <w:t>颗粒物</w:t>
                  </w:r>
                </w:p>
              </w:tc>
              <w:tc>
                <w:tcPr>
                  <w:tcW w:w="2540" w:type="dxa"/>
                  <w:tcBorders>
                    <w:tl2br w:val="nil"/>
                    <w:tr2bl w:val="nil"/>
                  </w:tcBorders>
                  <w:tcMar>
                    <w:top w:w="57" w:type="dxa"/>
                    <w:left w:w="28" w:type="dxa"/>
                    <w:bottom w:w="57" w:type="dxa"/>
                    <w:right w:w="28" w:type="dxa"/>
                  </w:tcMar>
                  <w:vAlign w:val="center"/>
                </w:tcPr>
                <w:p>
                  <w:pPr>
                    <w:jc w:val="center"/>
                    <w:rPr>
                      <w:bCs/>
                      <w:szCs w:val="21"/>
                    </w:rPr>
                  </w:pPr>
                  <w:r>
                    <w:rPr>
                      <w:rFonts w:hint="eastAsia"/>
                      <w:snapToGrid w:val="0"/>
                      <w:kern w:val="0"/>
                      <w:szCs w:val="21"/>
                    </w:rPr>
                    <w:t>《大气污染物综合排放标准》（GB16297-1996）</w:t>
                  </w:r>
                </w:p>
              </w:tc>
              <w:tc>
                <w:tcPr>
                  <w:tcW w:w="1079" w:type="dxa"/>
                  <w:tcBorders>
                    <w:tl2br w:val="nil"/>
                    <w:tr2bl w:val="nil"/>
                  </w:tcBorders>
                  <w:tcMar>
                    <w:left w:w="28" w:type="dxa"/>
                    <w:right w:w="28" w:type="dxa"/>
                  </w:tcMar>
                  <w:vAlign w:val="center"/>
                </w:tcPr>
                <w:p>
                  <w:pPr>
                    <w:jc w:val="center"/>
                    <w:rPr>
                      <w:bCs/>
                      <w:szCs w:val="21"/>
                    </w:rPr>
                  </w:pPr>
                  <w:r>
                    <w:rPr>
                      <w:rFonts w:hint="eastAsia"/>
                      <w:bCs/>
                      <w:szCs w:val="21"/>
                    </w:rPr>
                    <w:t>120</w:t>
                  </w:r>
                  <w:r>
                    <w:rPr>
                      <w:rFonts w:cs="TimesNewRomanPSMT"/>
                      <w:kern w:val="0"/>
                      <w:szCs w:val="21"/>
                    </w:rPr>
                    <w:t>mg/m</w:t>
                  </w:r>
                  <w:r>
                    <w:rPr>
                      <w:rFonts w:cs="TimesNewRomanPSMT"/>
                      <w:kern w:val="0"/>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0" w:hRule="atLeast"/>
              </w:trPr>
              <w:tc>
                <w:tcPr>
                  <w:tcW w:w="505" w:type="dxa"/>
                  <w:vMerge w:val="restart"/>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2</w:t>
                  </w:r>
                </w:p>
              </w:tc>
              <w:tc>
                <w:tcPr>
                  <w:tcW w:w="1231" w:type="dxa"/>
                  <w:vMerge w:val="restart"/>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DA002</w:t>
                  </w:r>
                </w:p>
              </w:tc>
              <w:tc>
                <w:tcPr>
                  <w:tcW w:w="1380" w:type="dxa"/>
                  <w:vMerge w:val="restart"/>
                  <w:tcBorders>
                    <w:tl2br w:val="nil"/>
                    <w:tr2bl w:val="nil"/>
                  </w:tcBorders>
                  <w:tcMar>
                    <w:top w:w="57" w:type="dxa"/>
                    <w:left w:w="28" w:type="dxa"/>
                    <w:bottom w:w="57" w:type="dxa"/>
                    <w:right w:w="28" w:type="dxa"/>
                  </w:tcMar>
                  <w:vAlign w:val="center"/>
                </w:tcPr>
                <w:p>
                  <w:pPr>
                    <w:jc w:val="center"/>
                    <w:rPr>
                      <w:bCs/>
                      <w:szCs w:val="21"/>
                    </w:rPr>
                  </w:pPr>
                  <w:r>
                    <w:rPr>
                      <w:rFonts w:hint="eastAsia"/>
                      <w:bCs/>
                      <w:szCs w:val="21"/>
                    </w:rPr>
                    <w:t>烘干</w:t>
                  </w:r>
                  <w:r>
                    <w:rPr>
                      <w:bCs/>
                      <w:szCs w:val="21"/>
                    </w:rPr>
                    <w:t>废气排放口</w:t>
                  </w:r>
                </w:p>
              </w:tc>
              <w:tc>
                <w:tcPr>
                  <w:tcW w:w="1180" w:type="dxa"/>
                  <w:tcBorders>
                    <w:tl2br w:val="nil"/>
                    <w:tr2bl w:val="nil"/>
                  </w:tcBorders>
                  <w:tcMar>
                    <w:top w:w="57" w:type="dxa"/>
                    <w:left w:w="28" w:type="dxa"/>
                    <w:bottom w:w="57" w:type="dxa"/>
                    <w:right w:w="28" w:type="dxa"/>
                  </w:tcMar>
                  <w:vAlign w:val="center"/>
                </w:tcPr>
                <w:p>
                  <w:pPr>
                    <w:autoSpaceDE w:val="0"/>
                    <w:autoSpaceDN w:val="0"/>
                    <w:adjustRightInd w:val="0"/>
                    <w:jc w:val="center"/>
                    <w:rPr>
                      <w:rFonts w:cs="宋体"/>
                      <w:kern w:val="0"/>
                      <w:szCs w:val="21"/>
                    </w:rPr>
                  </w:pPr>
                  <w:r>
                    <w:rPr>
                      <w:rFonts w:hint="eastAsia" w:cs="宋体"/>
                      <w:kern w:val="0"/>
                      <w:szCs w:val="21"/>
                    </w:rPr>
                    <w:t>颗粒物</w:t>
                  </w:r>
                </w:p>
              </w:tc>
              <w:tc>
                <w:tcPr>
                  <w:tcW w:w="2540" w:type="dxa"/>
                  <w:vMerge w:val="restart"/>
                  <w:tcBorders>
                    <w:tl2br w:val="nil"/>
                    <w:tr2bl w:val="nil"/>
                  </w:tcBorders>
                  <w:tcMar>
                    <w:top w:w="57" w:type="dxa"/>
                    <w:left w:w="28" w:type="dxa"/>
                    <w:bottom w:w="57" w:type="dxa"/>
                    <w:right w:w="28" w:type="dxa"/>
                  </w:tcMar>
                  <w:vAlign w:val="center"/>
                </w:tcPr>
                <w:p>
                  <w:pPr>
                    <w:jc w:val="center"/>
                    <w:rPr>
                      <w:kern w:val="0"/>
                      <w:szCs w:val="21"/>
                    </w:rPr>
                  </w:pPr>
                  <w:r>
                    <w:rPr>
                      <w:szCs w:val="21"/>
                    </w:rPr>
                    <w:t>《工业炉窑大气污染物排放标准》</w:t>
                  </w:r>
                  <w:r>
                    <w:rPr>
                      <w:rFonts w:hint="eastAsia"/>
                      <w:szCs w:val="21"/>
                    </w:rPr>
                    <w:t>（</w:t>
                  </w:r>
                  <w:r>
                    <w:rPr>
                      <w:szCs w:val="21"/>
                    </w:rPr>
                    <w:t>DB41/1066-</w:t>
                  </w:r>
                  <w:r>
                    <w:rPr>
                      <w:rFonts w:hint="eastAsia"/>
                      <w:szCs w:val="21"/>
                    </w:rPr>
                    <w:t>2020）</w:t>
                  </w:r>
                </w:p>
              </w:tc>
              <w:tc>
                <w:tcPr>
                  <w:tcW w:w="1079" w:type="dxa"/>
                  <w:tcBorders>
                    <w:tl2br w:val="nil"/>
                    <w:tr2bl w:val="nil"/>
                  </w:tcBorders>
                  <w:tcMar>
                    <w:left w:w="28" w:type="dxa"/>
                    <w:right w:w="28" w:type="dxa"/>
                  </w:tcMar>
                  <w:vAlign w:val="center"/>
                </w:tcPr>
                <w:p>
                  <w:pPr>
                    <w:jc w:val="center"/>
                    <w:rPr>
                      <w:bCs/>
                      <w:szCs w:val="21"/>
                    </w:rPr>
                  </w:pPr>
                  <w:r>
                    <w:rPr>
                      <w:rFonts w:hint="eastAsia"/>
                      <w:snapToGrid w:val="0"/>
                      <w:kern w:val="0"/>
                      <w:szCs w:val="21"/>
                    </w:rPr>
                    <w:t>10mg/m</w:t>
                  </w:r>
                  <w:r>
                    <w:rPr>
                      <w:rFonts w:hint="eastAsia"/>
                      <w:snapToGrid w:val="0"/>
                      <w:kern w:val="0"/>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0" w:hRule="atLeast"/>
              </w:trPr>
              <w:tc>
                <w:tcPr>
                  <w:tcW w:w="505"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231"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380"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180" w:type="dxa"/>
                  <w:tcBorders>
                    <w:tl2br w:val="nil"/>
                    <w:tr2bl w:val="nil"/>
                  </w:tcBorders>
                  <w:tcMar>
                    <w:top w:w="57" w:type="dxa"/>
                    <w:left w:w="28" w:type="dxa"/>
                    <w:bottom w:w="57" w:type="dxa"/>
                    <w:right w:w="28" w:type="dxa"/>
                  </w:tcMar>
                  <w:vAlign w:val="center"/>
                </w:tcPr>
                <w:p>
                  <w:pPr>
                    <w:autoSpaceDE w:val="0"/>
                    <w:autoSpaceDN w:val="0"/>
                    <w:adjustRightInd w:val="0"/>
                    <w:jc w:val="center"/>
                    <w:rPr>
                      <w:rFonts w:cs="宋体"/>
                      <w:kern w:val="0"/>
                      <w:szCs w:val="21"/>
                    </w:rPr>
                  </w:pPr>
                  <w:r>
                    <w:rPr>
                      <w:rFonts w:hint="eastAsia"/>
                      <w:snapToGrid w:val="0"/>
                      <w:kern w:val="0"/>
                      <w:szCs w:val="21"/>
                    </w:rPr>
                    <w:t>SO</w:t>
                  </w:r>
                  <w:r>
                    <w:rPr>
                      <w:rFonts w:hint="eastAsia"/>
                      <w:snapToGrid w:val="0"/>
                      <w:kern w:val="0"/>
                      <w:szCs w:val="21"/>
                      <w:vertAlign w:val="subscript"/>
                    </w:rPr>
                    <w:t>2</w:t>
                  </w:r>
                </w:p>
              </w:tc>
              <w:tc>
                <w:tcPr>
                  <w:tcW w:w="2540" w:type="dxa"/>
                  <w:vMerge w:val="continue"/>
                  <w:tcBorders>
                    <w:tl2br w:val="nil"/>
                    <w:tr2bl w:val="nil"/>
                  </w:tcBorders>
                  <w:tcMar>
                    <w:top w:w="57" w:type="dxa"/>
                    <w:left w:w="28" w:type="dxa"/>
                    <w:bottom w:w="57" w:type="dxa"/>
                    <w:right w:w="28" w:type="dxa"/>
                  </w:tcMar>
                  <w:vAlign w:val="center"/>
                </w:tcPr>
                <w:p>
                  <w:pPr>
                    <w:jc w:val="center"/>
                    <w:rPr>
                      <w:szCs w:val="21"/>
                    </w:rPr>
                  </w:pPr>
                </w:p>
              </w:tc>
              <w:tc>
                <w:tcPr>
                  <w:tcW w:w="1079" w:type="dxa"/>
                  <w:tcBorders>
                    <w:tl2br w:val="nil"/>
                    <w:tr2bl w:val="nil"/>
                  </w:tcBorders>
                  <w:tcMar>
                    <w:left w:w="28" w:type="dxa"/>
                    <w:right w:w="28" w:type="dxa"/>
                  </w:tcMar>
                  <w:vAlign w:val="center"/>
                </w:tcPr>
                <w:p>
                  <w:pPr>
                    <w:jc w:val="center"/>
                    <w:rPr>
                      <w:bCs/>
                      <w:szCs w:val="21"/>
                    </w:rPr>
                  </w:pPr>
                  <w:r>
                    <w:rPr>
                      <w:rFonts w:hint="eastAsia"/>
                      <w:snapToGrid w:val="0"/>
                      <w:kern w:val="0"/>
                      <w:szCs w:val="21"/>
                    </w:rPr>
                    <w:t>50mg/m</w:t>
                  </w:r>
                  <w:r>
                    <w:rPr>
                      <w:rFonts w:hint="eastAsia"/>
                      <w:snapToGrid w:val="0"/>
                      <w:kern w:val="0"/>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0" w:hRule="atLeast"/>
              </w:trPr>
              <w:tc>
                <w:tcPr>
                  <w:tcW w:w="505"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231"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380" w:type="dxa"/>
                  <w:vMerge w:val="continue"/>
                  <w:tcBorders>
                    <w:tl2br w:val="nil"/>
                    <w:tr2bl w:val="nil"/>
                  </w:tcBorders>
                  <w:tcMar>
                    <w:top w:w="57" w:type="dxa"/>
                    <w:left w:w="28" w:type="dxa"/>
                    <w:bottom w:w="57" w:type="dxa"/>
                    <w:right w:w="28" w:type="dxa"/>
                  </w:tcMar>
                  <w:vAlign w:val="center"/>
                </w:tcPr>
                <w:p>
                  <w:pPr>
                    <w:jc w:val="center"/>
                    <w:rPr>
                      <w:bCs/>
                      <w:szCs w:val="21"/>
                    </w:rPr>
                  </w:pPr>
                </w:p>
              </w:tc>
              <w:tc>
                <w:tcPr>
                  <w:tcW w:w="1180" w:type="dxa"/>
                  <w:tcBorders>
                    <w:tl2br w:val="nil"/>
                    <w:tr2bl w:val="nil"/>
                  </w:tcBorders>
                  <w:tcMar>
                    <w:top w:w="57" w:type="dxa"/>
                    <w:left w:w="28" w:type="dxa"/>
                    <w:bottom w:w="57" w:type="dxa"/>
                    <w:right w:w="28" w:type="dxa"/>
                  </w:tcMar>
                  <w:vAlign w:val="center"/>
                </w:tcPr>
                <w:p>
                  <w:pPr>
                    <w:autoSpaceDE w:val="0"/>
                    <w:autoSpaceDN w:val="0"/>
                    <w:adjustRightInd w:val="0"/>
                    <w:jc w:val="center"/>
                    <w:rPr>
                      <w:rFonts w:cs="宋体"/>
                      <w:kern w:val="0"/>
                      <w:szCs w:val="21"/>
                    </w:rPr>
                  </w:pPr>
                  <w:r>
                    <w:rPr>
                      <w:rFonts w:hint="eastAsia"/>
                      <w:snapToGrid w:val="0"/>
                      <w:kern w:val="0"/>
                      <w:szCs w:val="21"/>
                    </w:rPr>
                    <w:t>NOx</w:t>
                  </w:r>
                </w:p>
              </w:tc>
              <w:tc>
                <w:tcPr>
                  <w:tcW w:w="2540" w:type="dxa"/>
                  <w:vMerge w:val="continue"/>
                  <w:tcBorders>
                    <w:tl2br w:val="nil"/>
                    <w:tr2bl w:val="nil"/>
                  </w:tcBorders>
                  <w:tcMar>
                    <w:top w:w="57" w:type="dxa"/>
                    <w:left w:w="28" w:type="dxa"/>
                    <w:bottom w:w="57" w:type="dxa"/>
                    <w:right w:w="28" w:type="dxa"/>
                  </w:tcMar>
                  <w:vAlign w:val="center"/>
                </w:tcPr>
                <w:p>
                  <w:pPr>
                    <w:jc w:val="center"/>
                    <w:rPr>
                      <w:szCs w:val="21"/>
                    </w:rPr>
                  </w:pPr>
                </w:p>
              </w:tc>
              <w:tc>
                <w:tcPr>
                  <w:tcW w:w="1079" w:type="dxa"/>
                  <w:tcBorders>
                    <w:tl2br w:val="nil"/>
                    <w:tr2bl w:val="nil"/>
                  </w:tcBorders>
                  <w:tcMar>
                    <w:left w:w="28" w:type="dxa"/>
                    <w:right w:w="28" w:type="dxa"/>
                  </w:tcMar>
                  <w:vAlign w:val="center"/>
                </w:tcPr>
                <w:p>
                  <w:pPr>
                    <w:jc w:val="center"/>
                    <w:rPr>
                      <w:bCs/>
                      <w:szCs w:val="21"/>
                    </w:rPr>
                  </w:pPr>
                  <w:r>
                    <w:rPr>
                      <w:rFonts w:hint="eastAsia"/>
                      <w:snapToGrid w:val="0"/>
                      <w:kern w:val="0"/>
                      <w:szCs w:val="21"/>
                    </w:rPr>
                    <w:t>100mg/m</w:t>
                  </w:r>
                  <w:r>
                    <w:rPr>
                      <w:rFonts w:hint="eastAsia"/>
                      <w:snapToGrid w:val="0"/>
                      <w:kern w:val="0"/>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370" w:hRule="atLeast"/>
              </w:trPr>
              <w:tc>
                <w:tcPr>
                  <w:tcW w:w="505" w:type="dxa"/>
                  <w:tcBorders>
                    <w:tl2br w:val="nil"/>
                    <w:tr2bl w:val="nil"/>
                  </w:tcBorders>
                  <w:tcMar>
                    <w:top w:w="57" w:type="dxa"/>
                    <w:left w:w="28" w:type="dxa"/>
                    <w:bottom w:w="57" w:type="dxa"/>
                    <w:right w:w="28" w:type="dxa"/>
                  </w:tcMar>
                  <w:vAlign w:val="center"/>
                </w:tcPr>
                <w:p>
                  <w:pPr>
                    <w:jc w:val="center"/>
                    <w:rPr>
                      <w:rFonts w:hint="eastAsia" w:eastAsia="宋体"/>
                      <w:b/>
                      <w:bCs w:val="0"/>
                      <w:szCs w:val="21"/>
                      <w:u w:val="single"/>
                      <w:lang w:val="en-US" w:eastAsia="zh-CN"/>
                    </w:rPr>
                  </w:pPr>
                  <w:r>
                    <w:rPr>
                      <w:rFonts w:hint="eastAsia"/>
                      <w:b/>
                      <w:bCs w:val="0"/>
                      <w:szCs w:val="21"/>
                      <w:u w:val="single"/>
                      <w:lang w:val="en-US" w:eastAsia="zh-CN"/>
                    </w:rPr>
                    <w:t>3</w:t>
                  </w:r>
                </w:p>
              </w:tc>
              <w:tc>
                <w:tcPr>
                  <w:tcW w:w="1231" w:type="dxa"/>
                  <w:tcBorders>
                    <w:tl2br w:val="nil"/>
                    <w:tr2bl w:val="nil"/>
                  </w:tcBorders>
                  <w:tcMar>
                    <w:top w:w="57" w:type="dxa"/>
                    <w:left w:w="28" w:type="dxa"/>
                    <w:bottom w:w="57" w:type="dxa"/>
                    <w:right w:w="28" w:type="dxa"/>
                  </w:tcMar>
                  <w:vAlign w:val="center"/>
                </w:tcPr>
                <w:p>
                  <w:pPr>
                    <w:jc w:val="center"/>
                    <w:rPr>
                      <w:rFonts w:hint="eastAsia" w:eastAsia="宋体"/>
                      <w:b/>
                      <w:bCs w:val="0"/>
                      <w:szCs w:val="21"/>
                      <w:u w:val="single"/>
                      <w:lang w:val="en-US" w:eastAsia="zh-CN"/>
                    </w:rPr>
                  </w:pPr>
                  <w:r>
                    <w:rPr>
                      <w:rFonts w:hint="eastAsia"/>
                      <w:b/>
                      <w:bCs w:val="0"/>
                      <w:szCs w:val="21"/>
                      <w:u w:val="single"/>
                      <w:lang w:val="en-US" w:eastAsia="zh-CN"/>
                    </w:rPr>
                    <w:t>DA003</w:t>
                  </w:r>
                </w:p>
              </w:tc>
              <w:tc>
                <w:tcPr>
                  <w:tcW w:w="1380" w:type="dxa"/>
                  <w:tcBorders>
                    <w:tl2br w:val="nil"/>
                    <w:tr2bl w:val="nil"/>
                  </w:tcBorders>
                  <w:tcMar>
                    <w:top w:w="57" w:type="dxa"/>
                    <w:left w:w="28" w:type="dxa"/>
                    <w:bottom w:w="57" w:type="dxa"/>
                    <w:right w:w="28" w:type="dxa"/>
                  </w:tcMar>
                  <w:vAlign w:val="center"/>
                </w:tcPr>
                <w:p>
                  <w:pPr>
                    <w:jc w:val="center"/>
                    <w:rPr>
                      <w:b/>
                      <w:bCs w:val="0"/>
                      <w:szCs w:val="21"/>
                      <w:u w:val="single"/>
                    </w:rPr>
                  </w:pPr>
                  <w:r>
                    <w:rPr>
                      <w:rFonts w:hint="eastAsia"/>
                      <w:b/>
                      <w:bCs w:val="0"/>
                      <w:szCs w:val="21"/>
                      <w:u w:val="single"/>
                      <w:lang w:eastAsia="zh-CN"/>
                    </w:rPr>
                    <w:t>成品料仓废气、包装工序废气</w:t>
                  </w:r>
                  <w:r>
                    <w:rPr>
                      <w:b/>
                      <w:bCs w:val="0"/>
                      <w:szCs w:val="21"/>
                      <w:u w:val="single"/>
                    </w:rPr>
                    <w:t>排放口</w:t>
                  </w:r>
                </w:p>
              </w:tc>
              <w:tc>
                <w:tcPr>
                  <w:tcW w:w="1180" w:type="dxa"/>
                  <w:tcBorders>
                    <w:tl2br w:val="nil"/>
                    <w:tr2bl w:val="nil"/>
                  </w:tcBorders>
                  <w:tcMar>
                    <w:top w:w="57" w:type="dxa"/>
                    <w:left w:w="28" w:type="dxa"/>
                    <w:bottom w:w="57" w:type="dxa"/>
                    <w:right w:w="28" w:type="dxa"/>
                  </w:tcMar>
                  <w:vAlign w:val="center"/>
                </w:tcPr>
                <w:p>
                  <w:pPr>
                    <w:autoSpaceDE w:val="0"/>
                    <w:autoSpaceDN w:val="0"/>
                    <w:adjustRightInd w:val="0"/>
                    <w:jc w:val="center"/>
                    <w:rPr>
                      <w:rFonts w:hint="eastAsia" w:eastAsia="宋体"/>
                      <w:b/>
                      <w:bCs w:val="0"/>
                      <w:snapToGrid w:val="0"/>
                      <w:kern w:val="0"/>
                      <w:szCs w:val="21"/>
                      <w:u w:val="single"/>
                      <w:lang w:val="en-US" w:eastAsia="zh-CN"/>
                    </w:rPr>
                  </w:pPr>
                  <w:r>
                    <w:rPr>
                      <w:rFonts w:hint="eastAsia"/>
                      <w:b/>
                      <w:bCs w:val="0"/>
                      <w:snapToGrid w:val="0"/>
                      <w:kern w:val="0"/>
                      <w:szCs w:val="21"/>
                      <w:u w:val="single"/>
                      <w:lang w:val="en-US" w:eastAsia="zh-CN"/>
                    </w:rPr>
                    <w:t>颗粒物</w:t>
                  </w:r>
                </w:p>
              </w:tc>
              <w:tc>
                <w:tcPr>
                  <w:tcW w:w="2540" w:type="dxa"/>
                  <w:tcBorders>
                    <w:tl2br w:val="nil"/>
                    <w:tr2bl w:val="nil"/>
                  </w:tcBorders>
                  <w:tcMar>
                    <w:top w:w="57" w:type="dxa"/>
                    <w:left w:w="28" w:type="dxa"/>
                    <w:bottom w:w="57" w:type="dxa"/>
                    <w:right w:w="28" w:type="dxa"/>
                  </w:tcMar>
                  <w:vAlign w:val="center"/>
                </w:tcPr>
                <w:p>
                  <w:pPr>
                    <w:jc w:val="center"/>
                    <w:rPr>
                      <w:b/>
                      <w:bCs w:val="0"/>
                      <w:szCs w:val="21"/>
                      <w:u w:val="single"/>
                    </w:rPr>
                  </w:pPr>
                  <w:r>
                    <w:rPr>
                      <w:rFonts w:hint="eastAsia"/>
                      <w:b/>
                      <w:bCs w:val="0"/>
                      <w:snapToGrid w:val="0"/>
                      <w:kern w:val="0"/>
                      <w:szCs w:val="21"/>
                      <w:u w:val="single"/>
                    </w:rPr>
                    <w:t>《大气污染物综合排放标准》（GB16297-1996）</w:t>
                  </w:r>
                </w:p>
              </w:tc>
              <w:tc>
                <w:tcPr>
                  <w:tcW w:w="1079" w:type="dxa"/>
                  <w:tcBorders>
                    <w:tl2br w:val="nil"/>
                    <w:tr2bl w:val="nil"/>
                  </w:tcBorders>
                  <w:tcMar>
                    <w:left w:w="28" w:type="dxa"/>
                    <w:right w:w="28" w:type="dxa"/>
                  </w:tcMar>
                  <w:vAlign w:val="center"/>
                </w:tcPr>
                <w:p>
                  <w:pPr>
                    <w:jc w:val="center"/>
                    <w:rPr>
                      <w:rFonts w:hint="eastAsia"/>
                      <w:b/>
                      <w:bCs w:val="0"/>
                      <w:snapToGrid w:val="0"/>
                      <w:kern w:val="0"/>
                      <w:szCs w:val="21"/>
                      <w:u w:val="single"/>
                    </w:rPr>
                  </w:pPr>
                  <w:r>
                    <w:rPr>
                      <w:rFonts w:hint="eastAsia"/>
                      <w:b/>
                      <w:bCs w:val="0"/>
                      <w:szCs w:val="21"/>
                      <w:u w:val="single"/>
                    </w:rPr>
                    <w:t>120</w:t>
                  </w:r>
                  <w:r>
                    <w:rPr>
                      <w:rFonts w:cs="TimesNewRomanPSMT"/>
                      <w:b/>
                      <w:bCs w:val="0"/>
                      <w:kern w:val="0"/>
                      <w:szCs w:val="21"/>
                      <w:u w:val="single"/>
                    </w:rPr>
                    <w:t>mg/m</w:t>
                  </w:r>
                  <w:r>
                    <w:rPr>
                      <w:rFonts w:cs="TimesNewRomanPSMT"/>
                      <w:b/>
                      <w:bCs w:val="0"/>
                      <w:kern w:val="0"/>
                      <w:szCs w:val="21"/>
                      <w:u w:val="single"/>
                      <w:vertAlign w:val="superscript"/>
                    </w:rPr>
                    <w:t>3</w:t>
                  </w:r>
                </w:p>
              </w:tc>
            </w:tr>
          </w:tbl>
          <w:p>
            <w:pPr>
              <w:spacing w:before="120" w:beforeLines="50" w:line="360" w:lineRule="auto"/>
              <w:ind w:firstLine="482" w:firstLineChars="200"/>
              <w:rPr>
                <w:b/>
                <w:bCs/>
                <w:snapToGrid w:val="0"/>
                <w:kern w:val="0"/>
                <w:sz w:val="24"/>
              </w:rPr>
            </w:pPr>
            <w:r>
              <w:rPr>
                <w:rFonts w:hint="eastAsia"/>
                <w:b/>
                <w:bCs/>
                <w:snapToGrid w:val="0"/>
                <w:kern w:val="0"/>
                <w:sz w:val="24"/>
              </w:rPr>
              <w:t>1.4废气自行监测计划</w:t>
            </w:r>
          </w:p>
          <w:p>
            <w:pPr>
              <w:autoSpaceDE w:val="0"/>
              <w:autoSpaceDN w:val="0"/>
              <w:adjustRightInd w:val="0"/>
              <w:spacing w:line="360" w:lineRule="auto"/>
              <w:ind w:firstLine="482" w:firstLineChars="200"/>
              <w:rPr>
                <w:b/>
                <w:bCs/>
                <w:sz w:val="24"/>
                <w:u w:val="single"/>
              </w:rPr>
            </w:pPr>
            <w:r>
              <w:rPr>
                <w:rFonts w:hint="eastAsia"/>
                <w:b/>
                <w:bCs/>
                <w:sz w:val="24"/>
                <w:u w:val="single"/>
              </w:rPr>
              <w:t>根据本项目运营期产污特点及《排污单位自行监测技术指南 总则》（HJ819-2017），结合项目工程周围环境实际情况，制定自行监测计划，见表4-1</w:t>
            </w:r>
            <w:r>
              <w:rPr>
                <w:rFonts w:hint="eastAsia"/>
                <w:b/>
                <w:bCs/>
                <w:sz w:val="24"/>
                <w:u w:val="single"/>
                <w:lang w:val="en-US" w:eastAsia="zh-CN"/>
              </w:rPr>
              <w:t>3</w:t>
            </w:r>
            <w:r>
              <w:rPr>
                <w:rFonts w:hint="eastAsia"/>
                <w:b/>
                <w:bCs/>
                <w:sz w:val="24"/>
                <w:u w:val="single"/>
              </w:rPr>
              <w:t>。</w:t>
            </w:r>
          </w:p>
          <w:p>
            <w:pPr>
              <w:pStyle w:val="44"/>
              <w:spacing w:line="360" w:lineRule="auto"/>
              <w:rPr>
                <w:rFonts w:eastAsia="宋体"/>
                <w:b/>
                <w:bCs/>
                <w:sz w:val="24"/>
                <w:szCs w:val="24"/>
                <w:u w:val="single"/>
              </w:rPr>
            </w:pPr>
            <w:r>
              <w:rPr>
                <w:rFonts w:hint="eastAsia" w:eastAsia="宋体"/>
                <w:b/>
                <w:bCs/>
                <w:sz w:val="24"/>
                <w:szCs w:val="24"/>
                <w:u w:val="single"/>
              </w:rPr>
              <w:t>表4-1</w:t>
            </w:r>
            <w:r>
              <w:rPr>
                <w:rFonts w:hint="eastAsia" w:eastAsia="宋体"/>
                <w:b/>
                <w:bCs/>
                <w:sz w:val="24"/>
                <w:szCs w:val="24"/>
                <w:u w:val="single"/>
                <w:lang w:val="en-US" w:eastAsia="zh-CN"/>
              </w:rPr>
              <w:t>3</w:t>
            </w:r>
            <w:r>
              <w:rPr>
                <w:rFonts w:hint="eastAsia" w:eastAsia="宋体"/>
                <w:b/>
                <w:bCs/>
                <w:sz w:val="24"/>
                <w:szCs w:val="24"/>
                <w:u w:val="single"/>
              </w:rPr>
              <w:t xml:space="preserve">    废气污染源监测计划</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672"/>
              <w:gridCol w:w="996"/>
              <w:gridCol w:w="1038"/>
              <w:gridCol w:w="3194"/>
              <w:gridCol w:w="937"/>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54" w:hRule="atLeast"/>
              </w:trPr>
              <w:tc>
                <w:tcPr>
                  <w:tcW w:w="672" w:type="dxa"/>
                  <w:tcBorders>
                    <w:tl2br w:val="nil"/>
                    <w:tr2bl w:val="nil"/>
                  </w:tcBorders>
                  <w:vAlign w:val="center"/>
                </w:tcPr>
                <w:p>
                  <w:pPr>
                    <w:jc w:val="center"/>
                    <w:rPr>
                      <w:b/>
                      <w:bCs/>
                      <w:szCs w:val="21"/>
                    </w:rPr>
                  </w:pPr>
                  <w:r>
                    <w:rPr>
                      <w:b/>
                      <w:bCs/>
                      <w:szCs w:val="21"/>
                    </w:rPr>
                    <w:t>类别</w:t>
                  </w:r>
                </w:p>
              </w:tc>
              <w:tc>
                <w:tcPr>
                  <w:tcW w:w="996" w:type="dxa"/>
                  <w:tcBorders>
                    <w:tl2br w:val="nil"/>
                    <w:tr2bl w:val="nil"/>
                  </w:tcBorders>
                  <w:vAlign w:val="center"/>
                </w:tcPr>
                <w:p>
                  <w:pPr>
                    <w:jc w:val="center"/>
                    <w:rPr>
                      <w:b/>
                      <w:bCs/>
                      <w:szCs w:val="21"/>
                    </w:rPr>
                  </w:pPr>
                  <w:r>
                    <w:rPr>
                      <w:b/>
                      <w:bCs/>
                      <w:szCs w:val="21"/>
                    </w:rPr>
                    <w:t>项目</w:t>
                  </w:r>
                </w:p>
              </w:tc>
              <w:tc>
                <w:tcPr>
                  <w:tcW w:w="1038" w:type="dxa"/>
                  <w:tcBorders>
                    <w:tl2br w:val="nil"/>
                    <w:tr2bl w:val="nil"/>
                  </w:tcBorders>
                  <w:vAlign w:val="center"/>
                </w:tcPr>
                <w:p>
                  <w:pPr>
                    <w:jc w:val="center"/>
                    <w:rPr>
                      <w:b/>
                      <w:bCs/>
                      <w:szCs w:val="21"/>
                    </w:rPr>
                  </w:pPr>
                  <w:r>
                    <w:rPr>
                      <w:b/>
                      <w:bCs/>
                      <w:szCs w:val="21"/>
                    </w:rPr>
                    <w:t>监测因子</w:t>
                  </w:r>
                </w:p>
              </w:tc>
              <w:tc>
                <w:tcPr>
                  <w:tcW w:w="3194" w:type="dxa"/>
                  <w:tcBorders>
                    <w:tl2br w:val="nil"/>
                    <w:tr2bl w:val="nil"/>
                  </w:tcBorders>
                  <w:vAlign w:val="center"/>
                </w:tcPr>
                <w:p>
                  <w:pPr>
                    <w:jc w:val="center"/>
                    <w:rPr>
                      <w:b/>
                      <w:bCs/>
                      <w:szCs w:val="21"/>
                    </w:rPr>
                  </w:pPr>
                  <w:r>
                    <w:rPr>
                      <w:b/>
                      <w:bCs/>
                      <w:szCs w:val="21"/>
                    </w:rPr>
                    <w:t>监测点位</w:t>
                  </w:r>
                </w:p>
              </w:tc>
              <w:tc>
                <w:tcPr>
                  <w:tcW w:w="937" w:type="dxa"/>
                  <w:tcBorders>
                    <w:tl2br w:val="nil"/>
                    <w:tr2bl w:val="nil"/>
                  </w:tcBorders>
                  <w:vAlign w:val="center"/>
                </w:tcPr>
                <w:p>
                  <w:pPr>
                    <w:jc w:val="center"/>
                    <w:rPr>
                      <w:b/>
                      <w:bCs/>
                      <w:color w:val="FF0000"/>
                      <w:szCs w:val="21"/>
                    </w:rPr>
                  </w:pPr>
                  <w:r>
                    <w:rPr>
                      <w:b/>
                      <w:bCs/>
                      <w:szCs w:val="21"/>
                    </w:rPr>
                    <w:t>监测频率</w:t>
                  </w:r>
                </w:p>
              </w:tc>
              <w:tc>
                <w:tcPr>
                  <w:tcW w:w="1099" w:type="dxa"/>
                  <w:tcBorders>
                    <w:tl2br w:val="nil"/>
                    <w:tr2bl w:val="nil"/>
                  </w:tcBorders>
                  <w:vAlign w:val="center"/>
                </w:tcPr>
                <w:p>
                  <w:pPr>
                    <w:jc w:val="center"/>
                    <w:rPr>
                      <w:rFonts w:hint="eastAsia" w:eastAsia="宋体"/>
                      <w:b/>
                      <w:bCs/>
                      <w:color w:val="auto"/>
                      <w:szCs w:val="21"/>
                      <w:lang w:eastAsia="zh-CN"/>
                    </w:rPr>
                  </w:pPr>
                  <w:r>
                    <w:rPr>
                      <w:rFonts w:hint="eastAsia"/>
                      <w:b/>
                      <w:bCs/>
                      <w:color w:val="auto"/>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54" w:hRule="atLeast"/>
              </w:trPr>
              <w:tc>
                <w:tcPr>
                  <w:tcW w:w="672" w:type="dxa"/>
                  <w:vMerge w:val="restart"/>
                  <w:tcBorders>
                    <w:tl2br w:val="nil"/>
                    <w:tr2bl w:val="nil"/>
                  </w:tcBorders>
                  <w:vAlign w:val="center"/>
                </w:tcPr>
                <w:p>
                  <w:pPr>
                    <w:pStyle w:val="8"/>
                    <w:spacing w:line="240" w:lineRule="auto"/>
                    <w:jc w:val="center"/>
                    <w:rPr>
                      <w:sz w:val="21"/>
                      <w:szCs w:val="21"/>
                    </w:rPr>
                  </w:pPr>
                  <w:r>
                    <w:rPr>
                      <w:sz w:val="21"/>
                      <w:szCs w:val="21"/>
                    </w:rPr>
                    <w:t>废气</w:t>
                  </w:r>
                </w:p>
              </w:tc>
              <w:tc>
                <w:tcPr>
                  <w:tcW w:w="996" w:type="dxa"/>
                  <w:vMerge w:val="restart"/>
                  <w:tcBorders>
                    <w:tl2br w:val="nil"/>
                    <w:tr2bl w:val="nil"/>
                  </w:tcBorders>
                  <w:vAlign w:val="center"/>
                </w:tcPr>
                <w:p>
                  <w:pPr>
                    <w:jc w:val="center"/>
                    <w:rPr>
                      <w:szCs w:val="21"/>
                    </w:rPr>
                  </w:pPr>
                  <w:r>
                    <w:rPr>
                      <w:rFonts w:hint="eastAsia"/>
                      <w:szCs w:val="21"/>
                    </w:rPr>
                    <w:t>生产废气</w:t>
                  </w:r>
                </w:p>
              </w:tc>
              <w:tc>
                <w:tcPr>
                  <w:tcW w:w="1038" w:type="dxa"/>
                  <w:tcBorders>
                    <w:tl2br w:val="nil"/>
                    <w:tr2bl w:val="nil"/>
                  </w:tcBorders>
                  <w:vAlign w:val="center"/>
                </w:tcPr>
                <w:p>
                  <w:pPr>
                    <w:autoSpaceDE w:val="0"/>
                    <w:autoSpaceDN w:val="0"/>
                    <w:adjustRightInd w:val="0"/>
                    <w:jc w:val="center"/>
                    <w:rPr>
                      <w:szCs w:val="21"/>
                    </w:rPr>
                  </w:pPr>
                  <w:r>
                    <w:rPr>
                      <w:szCs w:val="21"/>
                    </w:rPr>
                    <w:t>颗粒物</w:t>
                  </w:r>
                </w:p>
              </w:tc>
              <w:tc>
                <w:tcPr>
                  <w:tcW w:w="3194" w:type="dxa"/>
                  <w:tcBorders>
                    <w:tl2br w:val="nil"/>
                    <w:tr2bl w:val="nil"/>
                  </w:tcBorders>
                  <w:vAlign w:val="center"/>
                </w:tcPr>
                <w:p>
                  <w:pPr>
                    <w:jc w:val="center"/>
                    <w:rPr>
                      <w:szCs w:val="21"/>
                    </w:rPr>
                  </w:pPr>
                  <w:r>
                    <w:rPr>
                      <w:rFonts w:hint="eastAsia"/>
                      <w:bCs/>
                      <w:szCs w:val="21"/>
                    </w:rPr>
                    <w:t>原料上料、破碎工序废气排放口（DA001）</w:t>
                  </w:r>
                </w:p>
              </w:tc>
              <w:tc>
                <w:tcPr>
                  <w:tcW w:w="937" w:type="dxa"/>
                  <w:vMerge w:val="restart"/>
                  <w:tcBorders>
                    <w:tl2br w:val="nil"/>
                    <w:tr2bl w:val="nil"/>
                  </w:tcBorders>
                  <w:vAlign w:val="center"/>
                </w:tcPr>
                <w:p>
                  <w:pPr>
                    <w:jc w:val="center"/>
                    <w:rPr>
                      <w:color w:val="FF0000"/>
                      <w:szCs w:val="21"/>
                    </w:rPr>
                  </w:pPr>
                  <w:r>
                    <w:rPr>
                      <w:szCs w:val="21"/>
                    </w:rPr>
                    <w:t>1次/年</w:t>
                  </w:r>
                </w:p>
              </w:tc>
              <w:tc>
                <w:tcPr>
                  <w:tcW w:w="1099" w:type="dxa"/>
                  <w:vMerge w:val="restart"/>
                  <w:tcBorders>
                    <w:tl2br w:val="nil"/>
                    <w:tr2bl w:val="nil"/>
                  </w:tcBorders>
                  <w:vAlign w:val="center"/>
                </w:tcPr>
                <w:p>
                  <w:pPr>
                    <w:jc w:val="center"/>
                    <w:rPr>
                      <w:rFonts w:hint="eastAsia" w:eastAsia="宋体"/>
                      <w:color w:val="auto"/>
                      <w:szCs w:val="21"/>
                      <w:lang w:val="en-US" w:eastAsia="zh-CN"/>
                    </w:rPr>
                  </w:pPr>
                  <w:r>
                    <w:rPr>
                      <w:color w:val="auto"/>
                      <w:szCs w:val="21"/>
                    </w:rPr>
                    <w:t>手工</w:t>
                  </w:r>
                  <w:r>
                    <w:rPr>
                      <w:rFonts w:hint="eastAsia"/>
                      <w:color w:val="auto"/>
                      <w:szCs w:val="21"/>
                      <w:lang w:val="en-US" w:eastAsia="zh-CN"/>
                    </w:rPr>
                    <w:t>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Ex>
              <w:trPr>
                <w:trHeight w:val="454" w:hRule="atLeast"/>
              </w:trPr>
              <w:tc>
                <w:tcPr>
                  <w:tcW w:w="672" w:type="dxa"/>
                  <w:vMerge w:val="continue"/>
                  <w:tcBorders>
                    <w:tl2br w:val="nil"/>
                    <w:tr2bl w:val="nil"/>
                  </w:tcBorders>
                  <w:vAlign w:val="center"/>
                </w:tcPr>
                <w:p>
                  <w:pPr>
                    <w:pStyle w:val="8"/>
                    <w:spacing w:line="240" w:lineRule="auto"/>
                    <w:jc w:val="center"/>
                    <w:rPr>
                      <w:sz w:val="21"/>
                      <w:szCs w:val="21"/>
                    </w:rPr>
                  </w:pPr>
                </w:p>
              </w:tc>
              <w:tc>
                <w:tcPr>
                  <w:tcW w:w="996" w:type="dxa"/>
                  <w:vMerge w:val="continue"/>
                  <w:tcBorders>
                    <w:tl2br w:val="nil"/>
                    <w:tr2bl w:val="nil"/>
                  </w:tcBorders>
                  <w:vAlign w:val="center"/>
                </w:tcPr>
                <w:p>
                  <w:pPr>
                    <w:jc w:val="center"/>
                    <w:rPr>
                      <w:szCs w:val="21"/>
                    </w:rPr>
                  </w:pPr>
                </w:p>
              </w:tc>
              <w:tc>
                <w:tcPr>
                  <w:tcW w:w="1038" w:type="dxa"/>
                  <w:tcBorders>
                    <w:tl2br w:val="nil"/>
                    <w:tr2bl w:val="nil"/>
                  </w:tcBorders>
                  <w:vAlign w:val="center"/>
                </w:tcPr>
                <w:p>
                  <w:pPr>
                    <w:autoSpaceDE w:val="0"/>
                    <w:autoSpaceDN w:val="0"/>
                    <w:adjustRightInd w:val="0"/>
                    <w:jc w:val="center"/>
                    <w:rPr>
                      <w:szCs w:val="21"/>
                    </w:rPr>
                  </w:pPr>
                  <w:r>
                    <w:rPr>
                      <w:rFonts w:hint="eastAsia"/>
                      <w:szCs w:val="21"/>
                    </w:rPr>
                    <w:t>颗粒物、</w:t>
                  </w:r>
                  <w:r>
                    <w:rPr>
                      <w:rFonts w:hint="eastAsia"/>
                      <w:snapToGrid w:val="0"/>
                      <w:kern w:val="0"/>
                      <w:szCs w:val="21"/>
                    </w:rPr>
                    <w:t>SO</w:t>
                  </w:r>
                  <w:r>
                    <w:rPr>
                      <w:rFonts w:hint="eastAsia"/>
                      <w:snapToGrid w:val="0"/>
                      <w:kern w:val="0"/>
                      <w:szCs w:val="21"/>
                      <w:vertAlign w:val="subscript"/>
                    </w:rPr>
                    <w:t>2</w:t>
                  </w:r>
                  <w:r>
                    <w:rPr>
                      <w:rFonts w:hint="eastAsia"/>
                      <w:szCs w:val="21"/>
                    </w:rPr>
                    <w:t>、</w:t>
                  </w:r>
                  <w:r>
                    <w:rPr>
                      <w:rFonts w:hint="eastAsia"/>
                      <w:snapToGrid w:val="0"/>
                      <w:kern w:val="0"/>
                      <w:szCs w:val="21"/>
                    </w:rPr>
                    <w:t>NOx</w:t>
                  </w:r>
                </w:p>
              </w:tc>
              <w:tc>
                <w:tcPr>
                  <w:tcW w:w="3194" w:type="dxa"/>
                  <w:tcBorders>
                    <w:tl2br w:val="nil"/>
                    <w:tr2bl w:val="nil"/>
                  </w:tcBorders>
                  <w:vAlign w:val="center"/>
                </w:tcPr>
                <w:p>
                  <w:pPr>
                    <w:jc w:val="center"/>
                    <w:rPr>
                      <w:bCs/>
                      <w:szCs w:val="21"/>
                    </w:rPr>
                  </w:pPr>
                  <w:r>
                    <w:rPr>
                      <w:rFonts w:hint="eastAsia"/>
                      <w:bCs/>
                      <w:szCs w:val="21"/>
                    </w:rPr>
                    <w:t>烘干</w:t>
                  </w:r>
                  <w:r>
                    <w:rPr>
                      <w:bCs/>
                      <w:szCs w:val="21"/>
                    </w:rPr>
                    <w:t>废气</w:t>
                  </w:r>
                  <w:r>
                    <w:rPr>
                      <w:rFonts w:hint="eastAsia"/>
                      <w:bCs/>
                      <w:szCs w:val="21"/>
                      <w:lang w:eastAsia="zh-CN"/>
                    </w:rPr>
                    <w:t>、成品料仓废气、包装工序废气</w:t>
                  </w:r>
                  <w:r>
                    <w:rPr>
                      <w:bCs/>
                      <w:szCs w:val="21"/>
                    </w:rPr>
                    <w:t>排放口</w:t>
                  </w:r>
                  <w:r>
                    <w:rPr>
                      <w:szCs w:val="21"/>
                    </w:rPr>
                    <w:t>（</w:t>
                  </w:r>
                  <w:r>
                    <w:rPr>
                      <w:rFonts w:hint="eastAsia"/>
                      <w:szCs w:val="21"/>
                    </w:rPr>
                    <w:t>DA002</w:t>
                  </w:r>
                  <w:r>
                    <w:rPr>
                      <w:szCs w:val="21"/>
                    </w:rPr>
                    <w:t>）</w:t>
                  </w:r>
                </w:p>
              </w:tc>
              <w:tc>
                <w:tcPr>
                  <w:tcW w:w="937" w:type="dxa"/>
                  <w:vMerge w:val="continue"/>
                  <w:tcBorders>
                    <w:tl2br w:val="nil"/>
                    <w:tr2bl w:val="nil"/>
                  </w:tcBorders>
                  <w:vAlign w:val="center"/>
                </w:tcPr>
                <w:p>
                  <w:pPr>
                    <w:jc w:val="center"/>
                    <w:rPr>
                      <w:szCs w:val="21"/>
                    </w:rPr>
                  </w:pPr>
                </w:p>
              </w:tc>
              <w:tc>
                <w:tcPr>
                  <w:tcW w:w="1099" w:type="dxa"/>
                  <w:vMerge w:val="continue"/>
                  <w:tcBorders>
                    <w:tl2br w:val="nil"/>
                    <w:tr2bl w:val="nil"/>
                  </w:tcBorders>
                  <w:vAlign w:val="center"/>
                </w:tcPr>
                <w:p>
                  <w:pPr>
                    <w:jc w:val="center"/>
                    <w:rPr>
                      <w:szCs w:val="21"/>
                    </w:rPr>
                  </w:pPr>
                </w:p>
              </w:tc>
            </w:tr>
          </w:tbl>
          <w:p>
            <w:pPr>
              <w:spacing w:before="120" w:beforeLines="50" w:line="360" w:lineRule="auto"/>
              <w:ind w:firstLine="482" w:firstLineChars="200"/>
              <w:rPr>
                <w:b/>
                <w:bCs/>
                <w:snapToGrid w:val="0"/>
                <w:kern w:val="0"/>
                <w:sz w:val="24"/>
              </w:rPr>
            </w:pPr>
            <w:r>
              <w:rPr>
                <w:rFonts w:hint="eastAsia"/>
                <w:b/>
                <w:bCs/>
                <w:snapToGrid w:val="0"/>
                <w:kern w:val="0"/>
                <w:sz w:val="24"/>
              </w:rPr>
              <w:t>1.5大气环境影响分析</w:t>
            </w:r>
          </w:p>
          <w:p>
            <w:pPr>
              <w:spacing w:line="360" w:lineRule="auto"/>
              <w:ind w:firstLine="480" w:firstLineChars="200"/>
              <w:rPr>
                <w:snapToGrid w:val="0"/>
                <w:kern w:val="0"/>
                <w:sz w:val="24"/>
              </w:rPr>
            </w:pPr>
            <w:r>
              <w:rPr>
                <w:snapToGrid w:val="0"/>
                <w:kern w:val="0"/>
                <w:sz w:val="24"/>
              </w:rPr>
              <w:t>本项目</w:t>
            </w:r>
            <w:r>
              <w:rPr>
                <w:rFonts w:hint="eastAsia"/>
                <w:snapToGrid w:val="0"/>
                <w:kern w:val="0"/>
                <w:sz w:val="24"/>
              </w:rPr>
              <w:t>原料上料、破碎产生的</w:t>
            </w:r>
            <w:r>
              <w:rPr>
                <w:rFonts w:hint="eastAsia"/>
                <w:snapToGrid w:val="0"/>
                <w:kern w:val="0"/>
                <w:sz w:val="24"/>
                <w:lang w:val="en-US" w:eastAsia="zh-CN"/>
              </w:rPr>
              <w:t>颗粒物</w:t>
            </w:r>
            <w:r>
              <w:rPr>
                <w:rFonts w:hint="eastAsia"/>
                <w:snapToGrid w:val="0"/>
                <w:kern w:val="0"/>
                <w:sz w:val="24"/>
              </w:rPr>
              <w:t>分别通过集气罩收集后经袋式除尘器（1#、2#）处理后由排气筒（DA001）排放，颗粒物排放浓度可满足《大气污染物综合排放标准》（GB16297-1996）表2排放限值（120mg/m</w:t>
            </w:r>
            <w:r>
              <w:rPr>
                <w:rFonts w:hint="eastAsia"/>
                <w:snapToGrid w:val="0"/>
                <w:kern w:val="0"/>
                <w:sz w:val="24"/>
                <w:vertAlign w:val="superscript"/>
              </w:rPr>
              <w:t>3</w:t>
            </w:r>
            <w:r>
              <w:rPr>
                <w:rFonts w:hint="eastAsia"/>
                <w:snapToGrid w:val="0"/>
                <w:kern w:val="0"/>
                <w:sz w:val="24"/>
              </w:rPr>
              <w:t>，3.5kg/h）要求。烘干工序产生的废气经</w:t>
            </w:r>
            <w:r>
              <w:rPr>
                <w:rFonts w:hint="eastAsia"/>
                <w:snapToGrid w:val="0"/>
                <w:kern w:val="0"/>
                <w:sz w:val="24"/>
                <w:lang w:val="en-US" w:eastAsia="zh-CN"/>
              </w:rPr>
              <w:t>2级旋风除尘器处理（1#、2#）后，再经过</w:t>
            </w:r>
            <w:r>
              <w:rPr>
                <w:rFonts w:hint="eastAsia"/>
                <w:snapToGrid w:val="0"/>
                <w:kern w:val="0"/>
                <w:sz w:val="24"/>
              </w:rPr>
              <w:t>2级袋式除尘器处理（3#、4#）后由排气筒（DA002）排放，颗粒物、SO</w:t>
            </w:r>
            <w:r>
              <w:rPr>
                <w:rFonts w:hint="eastAsia"/>
                <w:snapToGrid w:val="0"/>
                <w:kern w:val="0"/>
                <w:sz w:val="24"/>
                <w:vertAlign w:val="subscript"/>
              </w:rPr>
              <w:t>2</w:t>
            </w:r>
            <w:r>
              <w:rPr>
                <w:rFonts w:hint="eastAsia"/>
                <w:snapToGrid w:val="0"/>
                <w:kern w:val="0"/>
                <w:sz w:val="24"/>
              </w:rPr>
              <w:t>、NOx排放浓度均可满足</w:t>
            </w:r>
            <w:r>
              <w:rPr>
                <w:sz w:val="24"/>
              </w:rPr>
              <w:t>《工业炉窑大气污染物排放标准》</w:t>
            </w:r>
            <w:r>
              <w:rPr>
                <w:rFonts w:hint="eastAsia"/>
                <w:sz w:val="24"/>
              </w:rPr>
              <w:t>（</w:t>
            </w:r>
            <w:r>
              <w:rPr>
                <w:sz w:val="24"/>
              </w:rPr>
              <w:t>DB41/1066-</w:t>
            </w:r>
            <w:r>
              <w:rPr>
                <w:rFonts w:hint="eastAsia"/>
                <w:sz w:val="24"/>
              </w:rPr>
              <w:t>2020）排放限值（颗粒物</w:t>
            </w:r>
            <w:r>
              <w:rPr>
                <w:rFonts w:hint="eastAsia"/>
                <w:snapToGrid w:val="0"/>
                <w:kern w:val="0"/>
                <w:sz w:val="24"/>
              </w:rPr>
              <w:t>10mg/m</w:t>
            </w:r>
            <w:r>
              <w:rPr>
                <w:rFonts w:hint="eastAsia"/>
                <w:snapToGrid w:val="0"/>
                <w:kern w:val="0"/>
                <w:sz w:val="24"/>
                <w:vertAlign w:val="superscript"/>
              </w:rPr>
              <w:t>3</w:t>
            </w:r>
            <w:r>
              <w:rPr>
                <w:rFonts w:hint="eastAsia"/>
                <w:snapToGrid w:val="0"/>
                <w:kern w:val="0"/>
                <w:sz w:val="24"/>
              </w:rPr>
              <w:t>，SO</w:t>
            </w:r>
            <w:r>
              <w:rPr>
                <w:rFonts w:hint="eastAsia"/>
                <w:snapToGrid w:val="0"/>
                <w:kern w:val="0"/>
                <w:sz w:val="24"/>
                <w:vertAlign w:val="subscript"/>
              </w:rPr>
              <w:t>2</w:t>
            </w:r>
            <w:r>
              <w:rPr>
                <w:rFonts w:hint="eastAsia"/>
                <w:snapToGrid w:val="0"/>
                <w:kern w:val="0"/>
                <w:sz w:val="24"/>
              </w:rPr>
              <w:t>50mg/m</w:t>
            </w:r>
            <w:r>
              <w:rPr>
                <w:rFonts w:hint="eastAsia"/>
                <w:snapToGrid w:val="0"/>
                <w:kern w:val="0"/>
                <w:sz w:val="24"/>
                <w:vertAlign w:val="superscript"/>
              </w:rPr>
              <w:t>3</w:t>
            </w:r>
            <w:r>
              <w:rPr>
                <w:rFonts w:hint="eastAsia"/>
                <w:snapToGrid w:val="0"/>
                <w:kern w:val="0"/>
                <w:sz w:val="24"/>
              </w:rPr>
              <w:t>，NOx100mg/m</w:t>
            </w:r>
            <w:r>
              <w:rPr>
                <w:rFonts w:hint="eastAsia"/>
                <w:snapToGrid w:val="0"/>
                <w:kern w:val="0"/>
                <w:sz w:val="24"/>
                <w:vertAlign w:val="superscript"/>
              </w:rPr>
              <w:t>3</w:t>
            </w:r>
            <w:r>
              <w:rPr>
                <w:rFonts w:hint="eastAsia"/>
                <w:sz w:val="24"/>
              </w:rPr>
              <w:t>）要求。</w:t>
            </w:r>
            <w:r>
              <w:rPr>
                <w:rFonts w:hint="eastAsia"/>
                <w:sz w:val="24"/>
                <w:lang w:val="en-US" w:eastAsia="zh-CN"/>
              </w:rPr>
              <w:t>成品料仓、包装工序产生的颗粒物经袋式除尘器处理后由排气筒（DA003）排放，</w:t>
            </w:r>
            <w:r>
              <w:rPr>
                <w:rFonts w:hint="eastAsia"/>
                <w:snapToGrid w:val="0"/>
                <w:kern w:val="0"/>
                <w:sz w:val="24"/>
              </w:rPr>
              <w:t>颗粒物排放浓度可满足《大气污染物综合排放标准》（GB16297-1996）表2排放限值（120mg/m</w:t>
            </w:r>
            <w:r>
              <w:rPr>
                <w:rFonts w:hint="eastAsia"/>
                <w:snapToGrid w:val="0"/>
                <w:kern w:val="0"/>
                <w:sz w:val="24"/>
                <w:vertAlign w:val="superscript"/>
              </w:rPr>
              <w:t>3</w:t>
            </w:r>
            <w:r>
              <w:rPr>
                <w:rFonts w:hint="eastAsia"/>
                <w:snapToGrid w:val="0"/>
                <w:kern w:val="0"/>
                <w:sz w:val="24"/>
              </w:rPr>
              <w:t>，3.5kg/h）要求。</w:t>
            </w:r>
            <w:r>
              <w:rPr>
                <w:rFonts w:hint="eastAsia"/>
                <w:sz w:val="24"/>
              </w:rPr>
              <w:t>本项目产生的废气</w:t>
            </w:r>
            <w:r>
              <w:rPr>
                <w:rFonts w:hint="eastAsia"/>
                <w:snapToGrid w:val="0"/>
                <w:kern w:val="0"/>
                <w:sz w:val="24"/>
              </w:rPr>
              <w:t>对周围大气环境影响较小。</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 xml:space="preserve">2 </w:t>
            </w:r>
            <w:r>
              <w:rPr>
                <w:b/>
                <w:snapToGrid w:val="0"/>
                <w:kern w:val="0"/>
                <w:sz w:val="24"/>
              </w:rPr>
              <w:t>废</w:t>
            </w:r>
            <w:r>
              <w:rPr>
                <w:rFonts w:hint="eastAsia"/>
                <w:b/>
                <w:snapToGrid w:val="0"/>
                <w:kern w:val="0"/>
                <w:sz w:val="24"/>
              </w:rPr>
              <w:t>水</w:t>
            </w:r>
          </w:p>
          <w:p>
            <w:pPr>
              <w:spacing w:line="360" w:lineRule="auto"/>
              <w:ind w:firstLine="480" w:firstLineChars="200"/>
              <w:rPr>
                <w:snapToGrid w:val="0"/>
                <w:kern w:val="0"/>
                <w:sz w:val="24"/>
              </w:rPr>
            </w:pPr>
            <w:r>
              <w:rPr>
                <w:rFonts w:hint="eastAsia"/>
                <w:snapToGrid w:val="0"/>
                <w:kern w:val="0"/>
                <w:sz w:val="24"/>
              </w:rPr>
              <w:t>本项目产生的废水包括生产废水和生活废水。生产废水经浓缩沉淀后循环使用不外排，生活废水经化粪池处理后，</w:t>
            </w:r>
            <w:r>
              <w:rPr>
                <w:rFonts w:hint="eastAsia"/>
                <w:snapToGrid w:val="0"/>
                <w:kern w:val="0"/>
                <w:sz w:val="24"/>
                <w:lang w:eastAsia="zh-CN"/>
              </w:rPr>
              <w:t>定期由吸粪车运至</w:t>
            </w:r>
            <w:r>
              <w:rPr>
                <w:rFonts w:hint="eastAsia"/>
                <w:snapToGrid w:val="0"/>
                <w:kern w:val="0"/>
                <w:sz w:val="24"/>
              </w:rPr>
              <w:t>集聚区污水处理厂处理后</w:t>
            </w:r>
            <w:r>
              <w:rPr>
                <w:rFonts w:hint="eastAsia"/>
                <w:snapToGrid w:val="0"/>
                <w:kern w:val="0"/>
                <w:sz w:val="24"/>
                <w:lang w:eastAsia="zh-CN"/>
              </w:rPr>
              <w:t>综合利用</w:t>
            </w:r>
            <w:r>
              <w:rPr>
                <w:rFonts w:hint="eastAsia"/>
                <w:snapToGrid w:val="0"/>
                <w:kern w:val="0"/>
                <w:sz w:val="24"/>
              </w:rPr>
              <w:t>，不外排。</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2.1生产废水</w:t>
            </w:r>
          </w:p>
          <w:p>
            <w:pPr>
              <w:spacing w:line="360" w:lineRule="auto"/>
              <w:ind w:firstLine="480" w:firstLineChars="200"/>
              <w:rPr>
                <w:snapToGrid w:val="0"/>
                <w:kern w:val="0"/>
                <w:sz w:val="24"/>
              </w:rPr>
            </w:pPr>
            <w:r>
              <w:rPr>
                <w:rFonts w:hint="eastAsia"/>
                <w:snapToGrid w:val="0"/>
                <w:kern w:val="0"/>
                <w:sz w:val="24"/>
              </w:rPr>
              <w:t>（1）洗矿废水</w:t>
            </w:r>
          </w:p>
          <w:p>
            <w:pPr>
              <w:spacing w:line="360" w:lineRule="auto"/>
              <w:ind w:firstLine="480" w:firstLineChars="200"/>
              <w:rPr>
                <w:snapToGrid w:val="0"/>
                <w:kern w:val="0"/>
                <w:sz w:val="24"/>
              </w:rPr>
            </w:pPr>
            <w:r>
              <w:rPr>
                <w:rFonts w:hint="eastAsia"/>
                <w:snapToGrid w:val="0"/>
                <w:kern w:val="0"/>
                <w:sz w:val="24"/>
              </w:rPr>
              <w:t>本项目采用螺旋洗矿机对原料进行清洗。根据建设单位提供的设备说明，洗矿平均用水量为10m</w:t>
            </w:r>
            <w:r>
              <w:rPr>
                <w:rFonts w:hint="eastAsia"/>
                <w:snapToGrid w:val="0"/>
                <w:kern w:val="0"/>
                <w:sz w:val="24"/>
                <w:vertAlign w:val="superscript"/>
              </w:rPr>
              <w:t>3</w:t>
            </w:r>
            <w:r>
              <w:rPr>
                <w:rFonts w:hint="eastAsia"/>
                <w:snapToGrid w:val="0"/>
                <w:kern w:val="0"/>
                <w:sz w:val="24"/>
              </w:rPr>
              <w:t>/h，每天运行8h计算，则螺旋洗矿机用水量为80m</w:t>
            </w:r>
            <w:r>
              <w:rPr>
                <w:rFonts w:hint="eastAsia"/>
                <w:snapToGrid w:val="0"/>
                <w:kern w:val="0"/>
                <w:sz w:val="24"/>
                <w:vertAlign w:val="superscript"/>
              </w:rPr>
              <w:t>3</w:t>
            </w:r>
            <w:r>
              <w:rPr>
                <w:rFonts w:hint="eastAsia"/>
                <w:snapToGrid w:val="0"/>
                <w:kern w:val="0"/>
                <w:sz w:val="24"/>
              </w:rPr>
              <w:t>/d，640m</w:t>
            </w:r>
            <w:r>
              <w:rPr>
                <w:rFonts w:hint="eastAsia"/>
                <w:snapToGrid w:val="0"/>
                <w:kern w:val="0"/>
                <w:sz w:val="24"/>
                <w:vertAlign w:val="superscript"/>
              </w:rPr>
              <w:t>3</w:t>
            </w:r>
            <w:r>
              <w:rPr>
                <w:rFonts w:hint="eastAsia"/>
                <w:snapToGrid w:val="0"/>
                <w:kern w:val="0"/>
                <w:sz w:val="24"/>
              </w:rPr>
              <w:t>/a</w:t>
            </w:r>
            <w:r>
              <w:rPr>
                <w:rFonts w:hint="eastAsia"/>
                <w:snapToGrid w:val="0"/>
                <w:kern w:val="0"/>
                <w:sz w:val="24"/>
                <w:lang w:eastAsia="zh-CN"/>
              </w:rPr>
              <w:t>。</w:t>
            </w:r>
            <w:r>
              <w:rPr>
                <w:rFonts w:hint="eastAsia"/>
                <w:snapToGrid w:val="0"/>
                <w:kern w:val="0"/>
                <w:sz w:val="24"/>
              </w:rPr>
              <w:t>其中5%的水被原料带走。</w:t>
            </w:r>
            <w:r>
              <w:rPr>
                <w:rFonts w:hint="eastAsia"/>
                <w:snapToGrid w:val="0"/>
                <w:kern w:val="0"/>
                <w:sz w:val="24"/>
                <w:lang w:eastAsia="zh-CN"/>
              </w:rPr>
              <w:t>其余含尘废水</w:t>
            </w:r>
            <w:r>
              <w:rPr>
                <w:rFonts w:hint="eastAsia"/>
                <w:snapToGrid w:val="0"/>
                <w:kern w:val="0"/>
                <w:sz w:val="24"/>
              </w:rPr>
              <w:t>进入到1#浓缩罐。</w:t>
            </w:r>
          </w:p>
          <w:p>
            <w:pPr>
              <w:spacing w:line="360" w:lineRule="auto"/>
              <w:ind w:firstLine="480" w:firstLineChars="200"/>
              <w:rPr>
                <w:snapToGrid w:val="0"/>
                <w:kern w:val="0"/>
                <w:sz w:val="24"/>
              </w:rPr>
            </w:pPr>
            <w:r>
              <w:rPr>
                <w:rFonts w:hint="eastAsia"/>
                <w:snapToGrid w:val="0"/>
                <w:kern w:val="0"/>
                <w:sz w:val="24"/>
              </w:rPr>
              <w:t>（2）分筛废水</w:t>
            </w:r>
          </w:p>
          <w:p>
            <w:pPr>
              <w:spacing w:line="360" w:lineRule="auto"/>
              <w:ind w:firstLine="480" w:firstLineChars="200"/>
              <w:rPr>
                <w:snapToGrid w:val="0"/>
                <w:kern w:val="0"/>
                <w:sz w:val="24"/>
              </w:rPr>
            </w:pPr>
            <w:r>
              <w:rPr>
                <w:rFonts w:hint="eastAsia"/>
                <w:snapToGrid w:val="0"/>
                <w:kern w:val="0"/>
                <w:sz w:val="24"/>
              </w:rPr>
              <w:t>破碎后的物料在分筛时，同时加水。根据设计资料，此过程加水量与物料的体积比为0.8：1。分筛物料量为88924.46t/a，密度按2.5×10</w:t>
            </w:r>
            <w:r>
              <w:rPr>
                <w:rFonts w:hint="eastAsia"/>
                <w:snapToGrid w:val="0"/>
                <w:kern w:val="0"/>
                <w:sz w:val="24"/>
                <w:vertAlign w:val="superscript"/>
              </w:rPr>
              <w:t>3</w:t>
            </w:r>
            <w:r>
              <w:rPr>
                <w:rFonts w:hint="eastAsia"/>
                <w:snapToGrid w:val="0"/>
                <w:kern w:val="0"/>
                <w:sz w:val="24"/>
              </w:rPr>
              <w:t>kg/m</w:t>
            </w:r>
            <w:r>
              <w:rPr>
                <w:rFonts w:hint="eastAsia"/>
                <w:snapToGrid w:val="0"/>
                <w:kern w:val="0"/>
                <w:sz w:val="24"/>
                <w:vertAlign w:val="superscript"/>
              </w:rPr>
              <w:t>3</w:t>
            </w:r>
            <w:r>
              <w:rPr>
                <w:rFonts w:hint="eastAsia"/>
                <w:snapToGrid w:val="0"/>
                <w:kern w:val="0"/>
                <w:sz w:val="24"/>
              </w:rPr>
              <w:t>，则体积为35570m³。此工序用水量为28456m³/a，113.82m³/d。此部分水经分筛机、水轮、脱水筛后，进入到1#浓缩罐。</w:t>
            </w:r>
          </w:p>
          <w:p>
            <w:pPr>
              <w:spacing w:line="360" w:lineRule="auto"/>
              <w:ind w:firstLine="480" w:firstLineChars="200"/>
              <w:rPr>
                <w:snapToGrid w:val="0"/>
                <w:kern w:val="0"/>
                <w:sz w:val="24"/>
              </w:rPr>
            </w:pPr>
            <w:r>
              <w:rPr>
                <w:rFonts w:hint="eastAsia"/>
                <w:snapToGrid w:val="0"/>
                <w:kern w:val="0"/>
                <w:sz w:val="24"/>
              </w:rPr>
              <w:t>（3）球磨机废水</w:t>
            </w:r>
          </w:p>
          <w:p>
            <w:pPr>
              <w:spacing w:line="360" w:lineRule="auto"/>
              <w:ind w:firstLine="480" w:firstLineChars="200"/>
              <w:rPr>
                <w:snapToGrid w:val="0"/>
                <w:kern w:val="0"/>
                <w:sz w:val="24"/>
              </w:rPr>
            </w:pPr>
            <w:r>
              <w:rPr>
                <w:rFonts w:hint="eastAsia"/>
                <w:snapToGrid w:val="0"/>
                <w:kern w:val="0"/>
                <w:sz w:val="24"/>
              </w:rPr>
              <w:t>本项目球磨工序采用湿式磨矿，球磨机的用水量跟物料性质、磨矿细度等有关，加水量一般约为磨矿量的2~3倍。本项目球磨工序用水量按磨矿量的2倍进行核算，磨矿量为88924.46t/a，则用水量为177848.92m</w:t>
            </w:r>
            <w:r>
              <w:rPr>
                <w:rFonts w:hint="eastAsia"/>
                <w:snapToGrid w:val="0"/>
                <w:kern w:val="0"/>
                <w:sz w:val="24"/>
                <w:vertAlign w:val="superscript"/>
              </w:rPr>
              <w:t>3</w:t>
            </w:r>
            <w:r>
              <w:rPr>
                <w:rFonts w:hint="eastAsia"/>
                <w:snapToGrid w:val="0"/>
                <w:kern w:val="0"/>
                <w:sz w:val="24"/>
              </w:rPr>
              <w:t>/a，711.40m</w:t>
            </w:r>
            <w:r>
              <w:rPr>
                <w:rFonts w:hint="eastAsia"/>
                <w:snapToGrid w:val="0"/>
                <w:kern w:val="0"/>
                <w:sz w:val="24"/>
                <w:vertAlign w:val="superscript"/>
              </w:rPr>
              <w:t>3</w:t>
            </w:r>
            <w:r>
              <w:rPr>
                <w:rFonts w:hint="eastAsia"/>
                <w:snapToGrid w:val="0"/>
                <w:kern w:val="0"/>
                <w:sz w:val="24"/>
              </w:rPr>
              <w:t>/d。</w:t>
            </w:r>
          </w:p>
          <w:p>
            <w:pPr>
              <w:spacing w:line="360" w:lineRule="auto"/>
              <w:ind w:firstLine="480" w:firstLineChars="200"/>
              <w:rPr>
                <w:snapToGrid w:val="0"/>
                <w:kern w:val="0"/>
                <w:sz w:val="24"/>
              </w:rPr>
            </w:pPr>
            <w:r>
              <w:rPr>
                <w:rFonts w:hint="eastAsia"/>
                <w:snapToGrid w:val="0"/>
                <w:kern w:val="0"/>
                <w:sz w:val="24"/>
              </w:rPr>
              <w:t>加入球磨机的水和物料混合磨矿后，进入后续分级机、电磁机等，此工序无废水产生。</w:t>
            </w:r>
          </w:p>
          <w:p>
            <w:pPr>
              <w:spacing w:line="360" w:lineRule="auto"/>
              <w:ind w:firstLine="480" w:firstLineChars="200"/>
              <w:rPr>
                <w:snapToGrid w:val="0"/>
                <w:kern w:val="0"/>
                <w:sz w:val="24"/>
              </w:rPr>
            </w:pPr>
            <w:r>
              <w:rPr>
                <w:rFonts w:hint="eastAsia"/>
                <w:snapToGrid w:val="0"/>
                <w:kern w:val="0"/>
                <w:sz w:val="24"/>
              </w:rPr>
              <w:t>（4）电磁除铁废水</w:t>
            </w:r>
          </w:p>
          <w:p>
            <w:pPr>
              <w:spacing w:line="360" w:lineRule="auto"/>
              <w:ind w:firstLine="480" w:firstLineChars="200"/>
              <w:rPr>
                <w:rFonts w:hint="eastAsia"/>
                <w:snapToGrid w:val="0"/>
                <w:kern w:val="0"/>
                <w:sz w:val="24"/>
              </w:rPr>
            </w:pPr>
            <w:r>
              <w:rPr>
                <w:rFonts w:hint="eastAsia"/>
                <w:snapToGrid w:val="0"/>
                <w:kern w:val="0"/>
                <w:sz w:val="24"/>
              </w:rPr>
              <w:t>本项目采用电磁机将球磨后物料中的含铁物料去除，工作时用水将被吸至磁介质表面的磁性矿物进行冲洗下来，排入1#浓缩罐。根据设备参数，用水量为20m</w:t>
            </w:r>
            <w:r>
              <w:rPr>
                <w:rFonts w:hint="eastAsia"/>
                <w:snapToGrid w:val="0"/>
                <w:kern w:val="0"/>
                <w:sz w:val="24"/>
                <w:vertAlign w:val="superscript"/>
              </w:rPr>
              <w:t>3</w:t>
            </w:r>
            <w:r>
              <w:rPr>
                <w:rFonts w:hint="eastAsia"/>
                <w:snapToGrid w:val="0"/>
                <w:kern w:val="0"/>
                <w:sz w:val="24"/>
              </w:rPr>
              <w:t>/h，每天用水量为160m</w:t>
            </w:r>
            <w:r>
              <w:rPr>
                <w:rFonts w:hint="eastAsia"/>
                <w:snapToGrid w:val="0"/>
                <w:kern w:val="0"/>
                <w:sz w:val="24"/>
                <w:vertAlign w:val="superscript"/>
              </w:rPr>
              <w:t>3</w:t>
            </w:r>
            <w:r>
              <w:rPr>
                <w:rFonts w:hint="eastAsia"/>
                <w:snapToGrid w:val="0"/>
                <w:kern w:val="0"/>
                <w:sz w:val="24"/>
              </w:rPr>
              <w:t>/d。</w:t>
            </w:r>
          </w:p>
          <w:p>
            <w:pPr>
              <w:spacing w:line="360" w:lineRule="auto"/>
              <w:ind w:firstLine="482" w:firstLineChars="200"/>
              <w:rPr>
                <w:rFonts w:hint="default" w:ascii="Times New Roman" w:hAnsi="Times New Roman" w:cs="Times New Roman"/>
                <w:b/>
                <w:bCs/>
                <w:snapToGrid w:val="0"/>
                <w:kern w:val="0"/>
                <w:sz w:val="24"/>
                <w:u w:val="single"/>
              </w:rPr>
            </w:pPr>
            <w:r>
              <w:rPr>
                <w:rFonts w:hint="default" w:ascii="Times New Roman" w:hAnsi="Times New Roman" w:cs="Times New Roman"/>
                <w:b/>
                <w:bCs/>
                <w:snapToGrid w:val="0"/>
                <w:kern w:val="0"/>
                <w:sz w:val="24"/>
                <w:u w:val="single"/>
              </w:rPr>
              <w:t>（5）</w:t>
            </w:r>
            <w:r>
              <w:rPr>
                <w:rFonts w:hint="eastAsia" w:ascii="Times New Roman" w:hAnsi="Times New Roman" w:cs="Times New Roman"/>
                <w:b/>
                <w:bCs/>
                <w:snapToGrid w:val="0"/>
                <w:kern w:val="0"/>
                <w:sz w:val="24"/>
                <w:u w:val="single"/>
                <w:lang w:val="en-US" w:eastAsia="zh-CN"/>
              </w:rPr>
              <w:t>压滤料</w:t>
            </w:r>
            <w:r>
              <w:rPr>
                <w:rFonts w:hint="default" w:ascii="Times New Roman" w:hAnsi="Times New Roman" w:cs="Times New Roman"/>
                <w:b/>
                <w:bCs/>
                <w:snapToGrid w:val="0"/>
                <w:kern w:val="0"/>
                <w:sz w:val="24"/>
                <w:u w:val="single"/>
              </w:rPr>
              <w:t>压滤废水</w:t>
            </w:r>
          </w:p>
          <w:p>
            <w:pPr>
              <w:spacing w:line="360" w:lineRule="auto"/>
              <w:ind w:firstLine="482" w:firstLineChars="200"/>
              <w:rPr>
                <w:rFonts w:hint="eastAsia" w:ascii="Times New Roman" w:hAnsi="Times New Roman" w:eastAsia="宋体" w:cs="Times New Roman"/>
                <w:b/>
                <w:bCs/>
                <w:snapToGrid w:val="0"/>
                <w:kern w:val="0"/>
                <w:sz w:val="24"/>
                <w:u w:val="single"/>
                <w:lang w:val="en-US" w:eastAsia="zh-CN"/>
              </w:rPr>
            </w:pPr>
            <w:r>
              <w:rPr>
                <w:rFonts w:hint="eastAsia" w:ascii="Times New Roman" w:hAnsi="Times New Roman" w:cs="Times New Roman"/>
                <w:b/>
                <w:bCs/>
                <w:snapToGrid w:val="0"/>
                <w:kern w:val="0"/>
                <w:sz w:val="24"/>
                <w:u w:val="single"/>
                <w:lang w:val="en-US" w:eastAsia="zh-CN"/>
              </w:rPr>
              <w:t>排入1#浓缩罐的含尘废水，经浓缩罐上方的自动加药装置加入聚合氯化铝沉淀之后，上清液排入储水池，循环使用，不外排；下层沉淀物经板框压滤机压滤。板框压滤机压滤后的物料含水率为28%，结合物料平衡，压滤料</w:t>
            </w:r>
            <w:r>
              <w:rPr>
                <w:rFonts w:hint="eastAsia" w:ascii="Times New Roman" w:hAnsi="Times New Roman" w:cs="Times New Roman"/>
                <w:b/>
                <w:bCs/>
                <w:snapToGrid w:val="0"/>
                <w:color w:val="auto"/>
                <w:kern w:val="0"/>
                <w:sz w:val="24"/>
                <w:u w:val="single"/>
                <w:lang w:val="en-US" w:eastAsia="zh-CN"/>
              </w:rPr>
              <w:t>共</w:t>
            </w:r>
            <w:r>
              <w:rPr>
                <w:rFonts w:hint="eastAsia" w:cs="Times New Roman"/>
                <w:b/>
                <w:bCs/>
                <w:snapToGrid w:val="0"/>
                <w:color w:val="auto"/>
                <w:kern w:val="0"/>
                <w:sz w:val="24"/>
                <w:u w:val="single"/>
                <w:lang w:val="en-US" w:eastAsia="zh-CN"/>
              </w:rPr>
              <w:t>20117.94</w:t>
            </w:r>
            <w:r>
              <w:rPr>
                <w:rFonts w:hint="eastAsia" w:ascii="Times New Roman" w:hAnsi="Times New Roman" w:cs="Times New Roman"/>
                <w:b/>
                <w:bCs/>
                <w:snapToGrid w:val="0"/>
                <w:color w:val="auto"/>
                <w:kern w:val="0"/>
                <w:sz w:val="24"/>
                <w:u w:val="single"/>
                <w:lang w:val="en-US" w:eastAsia="zh-CN"/>
              </w:rPr>
              <w:t>t/a</w:t>
            </w:r>
            <w:r>
              <w:rPr>
                <w:rFonts w:hint="eastAsia" w:ascii="Times New Roman" w:hAnsi="Times New Roman" w:cs="Times New Roman"/>
                <w:b/>
                <w:bCs/>
                <w:snapToGrid w:val="0"/>
                <w:kern w:val="0"/>
                <w:sz w:val="24"/>
                <w:u w:val="single"/>
                <w:lang w:val="en-US" w:eastAsia="zh-CN"/>
              </w:rPr>
              <w:t>（含水率28%）；板框压滤机压滤过程中产生的废水直接进入储水池，循环使用，不外排。1#浓缩罐排入储水池的</w:t>
            </w:r>
            <w:r>
              <w:rPr>
                <w:rFonts w:hint="eastAsia" w:ascii="Times New Roman" w:hAnsi="Times New Roman" w:cs="Times New Roman"/>
                <w:b/>
                <w:bCs/>
                <w:snapToGrid w:val="0"/>
                <w:color w:val="auto"/>
                <w:kern w:val="0"/>
                <w:sz w:val="24"/>
                <w:u w:val="single"/>
                <w:lang w:val="en-US" w:eastAsia="zh-CN"/>
              </w:rPr>
              <w:t>水为</w:t>
            </w:r>
            <w:r>
              <w:rPr>
                <w:rFonts w:hint="eastAsia" w:cs="Times New Roman"/>
                <w:b/>
                <w:bCs/>
                <w:snapToGrid w:val="0"/>
                <w:color w:val="auto"/>
                <w:kern w:val="0"/>
                <w:sz w:val="24"/>
                <w:u w:val="single"/>
                <w:lang w:val="en-US" w:eastAsia="zh-CN"/>
              </w:rPr>
              <w:t>74500</w:t>
            </w:r>
            <w:r>
              <w:rPr>
                <w:rFonts w:hint="eastAsia" w:ascii="Times New Roman" w:hAnsi="Times New Roman" w:cs="Times New Roman"/>
                <w:b/>
                <w:bCs/>
                <w:snapToGrid w:val="0"/>
                <w:color w:val="auto"/>
                <w:kern w:val="0"/>
                <w:sz w:val="24"/>
                <w:u w:val="single"/>
                <w:lang w:val="en-US" w:eastAsia="zh-CN"/>
              </w:rPr>
              <w:t>m³/a</w:t>
            </w:r>
            <w:r>
              <w:rPr>
                <w:rFonts w:hint="eastAsia" w:cs="Times New Roman"/>
                <w:b/>
                <w:bCs/>
                <w:snapToGrid w:val="0"/>
                <w:color w:val="auto"/>
                <w:kern w:val="0"/>
                <w:sz w:val="24"/>
                <w:u w:val="single"/>
                <w:lang w:val="en-US" w:eastAsia="zh-CN"/>
              </w:rPr>
              <w:t>（298m³/d）；</w:t>
            </w:r>
            <w:r>
              <w:rPr>
                <w:rFonts w:hint="eastAsia" w:ascii="Times New Roman" w:hAnsi="Times New Roman" w:cs="Times New Roman"/>
                <w:b/>
                <w:bCs/>
                <w:snapToGrid w:val="0"/>
                <w:color w:val="auto"/>
                <w:kern w:val="0"/>
                <w:sz w:val="24"/>
                <w:u w:val="single"/>
                <w:lang w:val="en-US" w:eastAsia="zh-CN"/>
              </w:rPr>
              <w:t>其</w:t>
            </w:r>
            <w:r>
              <w:rPr>
                <w:rFonts w:hint="eastAsia" w:ascii="Times New Roman" w:hAnsi="Times New Roman" w:cs="Times New Roman"/>
                <w:b/>
                <w:bCs/>
                <w:snapToGrid w:val="0"/>
                <w:kern w:val="0"/>
                <w:sz w:val="24"/>
                <w:u w:val="single"/>
                <w:lang w:val="en-US" w:eastAsia="zh-CN"/>
              </w:rPr>
              <w:t>余</w:t>
            </w:r>
            <w:r>
              <w:rPr>
                <w:rFonts w:hint="eastAsia" w:cs="Times New Roman"/>
                <w:b/>
                <w:bCs/>
                <w:snapToGrid w:val="0"/>
                <w:kern w:val="0"/>
                <w:sz w:val="24"/>
                <w:u w:val="single"/>
                <w:lang w:val="en-US" w:eastAsia="zh-CN"/>
              </w:rPr>
              <w:t>5633.0</w:t>
            </w:r>
            <w:r>
              <w:rPr>
                <w:rFonts w:hint="eastAsia" w:cs="Times New Roman"/>
                <w:b/>
                <w:bCs/>
                <w:snapToGrid w:val="0"/>
                <w:color w:val="auto"/>
                <w:kern w:val="0"/>
                <w:sz w:val="24"/>
                <w:u w:val="single"/>
                <w:lang w:val="en-US" w:eastAsia="zh-CN"/>
              </w:rPr>
              <w:t>2</w:t>
            </w:r>
            <w:r>
              <w:rPr>
                <w:rFonts w:hint="eastAsia" w:ascii="Times New Roman" w:hAnsi="Times New Roman" w:cs="Times New Roman"/>
                <w:b/>
                <w:bCs/>
                <w:snapToGrid w:val="0"/>
                <w:color w:val="auto"/>
                <w:kern w:val="0"/>
                <w:sz w:val="24"/>
                <w:u w:val="single"/>
                <w:lang w:val="en-US" w:eastAsia="zh-CN"/>
              </w:rPr>
              <w:t>m³/a</w:t>
            </w:r>
            <w:r>
              <w:rPr>
                <w:rFonts w:hint="eastAsia" w:cs="Times New Roman"/>
                <w:b/>
                <w:bCs/>
                <w:snapToGrid w:val="0"/>
                <w:color w:val="auto"/>
                <w:kern w:val="0"/>
                <w:sz w:val="24"/>
                <w:u w:val="single"/>
                <w:lang w:val="en-US" w:eastAsia="zh-CN"/>
              </w:rPr>
              <w:t>（22.53m³/d）水</w:t>
            </w:r>
            <w:r>
              <w:rPr>
                <w:rFonts w:hint="eastAsia" w:ascii="Times New Roman" w:hAnsi="Times New Roman" w:cs="Times New Roman"/>
                <w:b/>
                <w:bCs/>
                <w:snapToGrid w:val="0"/>
                <w:kern w:val="0"/>
                <w:sz w:val="24"/>
                <w:u w:val="single"/>
                <w:lang w:val="en-US" w:eastAsia="zh-CN"/>
              </w:rPr>
              <w:t>被物料带走。</w:t>
            </w:r>
          </w:p>
          <w:p>
            <w:pPr>
              <w:spacing w:line="360" w:lineRule="auto"/>
              <w:ind w:firstLine="482" w:firstLineChars="200"/>
              <w:rPr>
                <w:rFonts w:hint="default" w:ascii="Times New Roman" w:hAnsi="Times New Roman" w:cs="Times New Roman"/>
                <w:b/>
                <w:bCs/>
                <w:snapToGrid w:val="0"/>
                <w:kern w:val="0"/>
                <w:sz w:val="24"/>
                <w:u w:val="single"/>
              </w:rPr>
            </w:pPr>
            <w:r>
              <w:rPr>
                <w:rFonts w:hint="default" w:ascii="Times New Roman" w:hAnsi="Times New Roman" w:cs="Times New Roman"/>
                <w:b/>
                <w:bCs/>
                <w:snapToGrid w:val="0"/>
                <w:kern w:val="0"/>
                <w:sz w:val="24"/>
                <w:u w:val="single"/>
              </w:rPr>
              <w:t>（</w:t>
            </w:r>
            <w:r>
              <w:rPr>
                <w:rFonts w:hint="eastAsia" w:cs="Times New Roman"/>
                <w:b/>
                <w:bCs/>
                <w:snapToGrid w:val="0"/>
                <w:kern w:val="0"/>
                <w:sz w:val="24"/>
                <w:u w:val="single"/>
                <w:lang w:val="en-US" w:eastAsia="zh-CN"/>
              </w:rPr>
              <w:t>6</w:t>
            </w:r>
            <w:r>
              <w:rPr>
                <w:rFonts w:hint="default" w:ascii="Times New Roman" w:hAnsi="Times New Roman" w:cs="Times New Roman"/>
                <w:b/>
                <w:bCs/>
                <w:snapToGrid w:val="0"/>
                <w:kern w:val="0"/>
                <w:sz w:val="24"/>
                <w:u w:val="single"/>
              </w:rPr>
              <w:t>）真空</w:t>
            </w:r>
            <w:r>
              <w:rPr>
                <w:rFonts w:hint="eastAsia" w:cs="Times New Roman"/>
                <w:b/>
                <w:bCs/>
                <w:snapToGrid w:val="0"/>
                <w:kern w:val="0"/>
                <w:sz w:val="24"/>
                <w:u w:val="single"/>
                <w:lang w:val="en-US" w:eastAsia="zh-CN"/>
              </w:rPr>
              <w:t>带式脱水机</w:t>
            </w:r>
            <w:r>
              <w:rPr>
                <w:rFonts w:hint="default" w:ascii="Times New Roman" w:hAnsi="Times New Roman" w:cs="Times New Roman"/>
                <w:b/>
                <w:bCs/>
                <w:snapToGrid w:val="0"/>
                <w:kern w:val="0"/>
                <w:sz w:val="24"/>
                <w:u w:val="single"/>
              </w:rPr>
              <w:t>排水</w:t>
            </w:r>
          </w:p>
          <w:p>
            <w:pPr>
              <w:spacing w:line="360" w:lineRule="auto"/>
              <w:ind w:firstLine="482" w:firstLineChars="200"/>
              <w:rPr>
                <w:rFonts w:hint="default" w:ascii="Times New Roman" w:hAnsi="Times New Roman" w:cs="Times New Roman"/>
                <w:b/>
                <w:bCs/>
                <w:snapToGrid w:val="0"/>
                <w:kern w:val="0"/>
                <w:sz w:val="24"/>
                <w:u w:val="single"/>
              </w:rPr>
            </w:pPr>
            <w:r>
              <w:rPr>
                <w:rFonts w:hint="eastAsia" w:cs="Times New Roman"/>
                <w:b/>
                <w:bCs/>
                <w:snapToGrid w:val="0"/>
                <w:kern w:val="0"/>
                <w:sz w:val="24"/>
                <w:u w:val="single"/>
                <w:lang w:val="en-US" w:eastAsia="zh-CN"/>
              </w:rPr>
              <w:t>除铁后的</w:t>
            </w:r>
            <w:r>
              <w:rPr>
                <w:rFonts w:hint="default" w:ascii="Times New Roman" w:hAnsi="Times New Roman" w:cs="Times New Roman"/>
                <w:b/>
                <w:bCs/>
                <w:snapToGrid w:val="0"/>
                <w:kern w:val="0"/>
                <w:sz w:val="24"/>
                <w:u w:val="single"/>
              </w:rPr>
              <w:t>物料经</w:t>
            </w:r>
            <w:r>
              <w:rPr>
                <w:rFonts w:hint="eastAsia" w:cs="Times New Roman"/>
                <w:b/>
                <w:bCs/>
                <w:snapToGrid w:val="0"/>
                <w:kern w:val="0"/>
                <w:sz w:val="24"/>
                <w:u w:val="single"/>
                <w:lang w:val="en-US" w:eastAsia="zh-CN"/>
              </w:rPr>
              <w:t>真空带式脱水机</w:t>
            </w:r>
            <w:r>
              <w:rPr>
                <w:rFonts w:hint="default" w:ascii="Times New Roman" w:hAnsi="Times New Roman" w:cs="Times New Roman"/>
                <w:b/>
                <w:bCs/>
                <w:snapToGrid w:val="0"/>
                <w:kern w:val="0"/>
                <w:sz w:val="24"/>
                <w:u w:val="single"/>
              </w:rPr>
              <w:t>脱水</w:t>
            </w:r>
            <w:r>
              <w:rPr>
                <w:rFonts w:hint="eastAsia" w:cs="Times New Roman"/>
                <w:b/>
                <w:bCs/>
                <w:snapToGrid w:val="0"/>
                <w:kern w:val="0"/>
                <w:sz w:val="24"/>
                <w:u w:val="single"/>
                <w:lang w:eastAsia="zh-CN"/>
              </w:rPr>
              <w:t>，</w:t>
            </w:r>
            <w:r>
              <w:rPr>
                <w:rFonts w:hint="eastAsia" w:cs="Times New Roman"/>
                <w:b/>
                <w:bCs/>
                <w:snapToGrid w:val="0"/>
                <w:kern w:val="0"/>
                <w:sz w:val="24"/>
                <w:u w:val="single"/>
                <w:lang w:val="en-US" w:eastAsia="zh-CN"/>
              </w:rPr>
              <w:t>脱水后物料含水率为10%。结合物料平衡计算</w:t>
            </w:r>
            <w:r>
              <w:rPr>
                <w:rFonts w:hint="default" w:ascii="Times New Roman" w:hAnsi="Times New Roman" w:cs="Times New Roman"/>
                <w:b/>
                <w:bCs/>
                <w:snapToGrid w:val="0"/>
                <w:kern w:val="0"/>
                <w:sz w:val="24"/>
                <w:u w:val="single"/>
              </w:rPr>
              <w:t>，真空</w:t>
            </w:r>
            <w:r>
              <w:rPr>
                <w:rFonts w:hint="eastAsia" w:cs="Times New Roman"/>
                <w:b/>
                <w:bCs/>
                <w:snapToGrid w:val="0"/>
                <w:kern w:val="0"/>
                <w:sz w:val="24"/>
                <w:u w:val="single"/>
                <w:lang w:val="en-US" w:eastAsia="zh-CN"/>
              </w:rPr>
              <w:t>带式脱水机脱水后</w:t>
            </w:r>
            <w:r>
              <w:rPr>
                <w:rFonts w:hint="default" w:ascii="Times New Roman" w:hAnsi="Times New Roman" w:cs="Times New Roman"/>
                <w:b/>
                <w:bCs/>
                <w:snapToGrid w:val="0"/>
                <w:kern w:val="0"/>
                <w:sz w:val="24"/>
                <w:u w:val="single"/>
              </w:rPr>
              <w:t>物料带走的水分为</w:t>
            </w:r>
            <w:r>
              <w:rPr>
                <w:rFonts w:hint="eastAsia" w:cs="Times New Roman"/>
                <w:b/>
                <w:bCs/>
                <w:snapToGrid w:val="0"/>
                <w:kern w:val="0"/>
                <w:sz w:val="24"/>
                <w:u w:val="single"/>
                <w:lang w:val="en-US" w:eastAsia="zh-CN"/>
              </w:rPr>
              <w:t>8885m³/a</w:t>
            </w:r>
            <w:r>
              <w:rPr>
                <w:rFonts w:hint="eastAsia" w:cs="Times New Roman"/>
                <w:b/>
                <w:bCs/>
                <w:snapToGrid w:val="0"/>
                <w:kern w:val="0"/>
                <w:sz w:val="24"/>
                <w:u w:val="single"/>
                <w:lang w:eastAsia="zh-CN"/>
              </w:rPr>
              <w:t>（</w:t>
            </w:r>
            <w:r>
              <w:rPr>
                <w:rFonts w:hint="eastAsia" w:cs="Times New Roman"/>
                <w:b/>
                <w:bCs/>
                <w:snapToGrid w:val="0"/>
                <w:kern w:val="0"/>
                <w:sz w:val="24"/>
                <w:u w:val="single"/>
                <w:lang w:val="en-US" w:eastAsia="zh-CN"/>
              </w:rPr>
              <w:t>35.54</w:t>
            </w:r>
            <w:r>
              <w:rPr>
                <w:rFonts w:hint="default" w:ascii="Times New Roman" w:hAnsi="Times New Roman" w:cs="Times New Roman"/>
                <w:b/>
                <w:bCs/>
                <w:snapToGrid w:val="0"/>
                <w:kern w:val="0"/>
                <w:sz w:val="24"/>
                <w:u w:val="single"/>
              </w:rPr>
              <w:t>m</w:t>
            </w:r>
            <w:r>
              <w:rPr>
                <w:rFonts w:hint="default" w:ascii="Times New Roman" w:hAnsi="Times New Roman" w:cs="Times New Roman"/>
                <w:b/>
                <w:bCs/>
                <w:snapToGrid w:val="0"/>
                <w:kern w:val="0"/>
                <w:sz w:val="24"/>
                <w:u w:val="single"/>
                <w:vertAlign w:val="superscript"/>
              </w:rPr>
              <w:t>3</w:t>
            </w:r>
            <w:r>
              <w:rPr>
                <w:rFonts w:hint="default" w:ascii="Times New Roman" w:hAnsi="Times New Roman" w:cs="Times New Roman"/>
                <w:b/>
                <w:bCs/>
                <w:snapToGrid w:val="0"/>
                <w:kern w:val="0"/>
                <w:sz w:val="24"/>
                <w:u w:val="single"/>
              </w:rPr>
              <w:t>/d</w:t>
            </w:r>
            <w:r>
              <w:rPr>
                <w:rFonts w:hint="eastAsia" w:cs="Times New Roman"/>
                <w:b/>
                <w:bCs/>
                <w:snapToGrid w:val="0"/>
                <w:kern w:val="0"/>
                <w:sz w:val="24"/>
                <w:u w:val="single"/>
                <w:lang w:eastAsia="zh-CN"/>
              </w:rPr>
              <w:t>），</w:t>
            </w:r>
            <w:r>
              <w:rPr>
                <w:rFonts w:hint="eastAsia" w:cs="Times New Roman"/>
                <w:b/>
                <w:bCs/>
                <w:snapToGrid w:val="0"/>
                <w:kern w:val="0"/>
                <w:sz w:val="24"/>
                <w:u w:val="single"/>
                <w:lang w:val="en-US" w:eastAsia="zh-CN"/>
              </w:rPr>
              <w:t>脱出的水量为176287.5</w:t>
            </w:r>
            <w:r>
              <w:rPr>
                <w:rFonts w:hint="default" w:ascii="Times New Roman" w:hAnsi="Times New Roman" w:cs="Times New Roman"/>
                <w:b/>
                <w:bCs/>
                <w:snapToGrid w:val="0"/>
                <w:kern w:val="0"/>
                <w:sz w:val="24"/>
                <w:u w:val="single"/>
              </w:rPr>
              <w:t>m</w:t>
            </w:r>
            <w:r>
              <w:rPr>
                <w:rFonts w:hint="default" w:ascii="Times New Roman" w:hAnsi="Times New Roman" w:cs="Times New Roman"/>
                <w:b/>
                <w:bCs/>
                <w:snapToGrid w:val="0"/>
                <w:kern w:val="0"/>
                <w:sz w:val="24"/>
                <w:u w:val="single"/>
                <w:vertAlign w:val="superscript"/>
              </w:rPr>
              <w:t>3</w:t>
            </w:r>
            <w:r>
              <w:rPr>
                <w:rFonts w:hint="default" w:ascii="Times New Roman" w:hAnsi="Times New Roman" w:cs="Times New Roman"/>
                <w:b/>
                <w:bCs/>
                <w:snapToGrid w:val="0"/>
                <w:kern w:val="0"/>
                <w:sz w:val="24"/>
                <w:u w:val="single"/>
              </w:rPr>
              <w:t>/</w:t>
            </w:r>
            <w:r>
              <w:rPr>
                <w:rFonts w:hint="eastAsia" w:cs="Times New Roman"/>
                <w:b/>
                <w:bCs/>
                <w:snapToGrid w:val="0"/>
                <w:kern w:val="0"/>
                <w:sz w:val="24"/>
                <w:u w:val="single"/>
                <w:lang w:val="en-US" w:eastAsia="zh-CN"/>
              </w:rPr>
              <w:t>a</w:t>
            </w:r>
            <w:r>
              <w:rPr>
                <w:rFonts w:hint="default" w:ascii="Times New Roman" w:hAnsi="Times New Roman" w:cs="Times New Roman"/>
                <w:b/>
                <w:bCs/>
                <w:snapToGrid w:val="0"/>
                <w:kern w:val="0"/>
                <w:sz w:val="24"/>
                <w:u w:val="single"/>
              </w:rPr>
              <w:t>（</w:t>
            </w:r>
            <w:r>
              <w:rPr>
                <w:rFonts w:hint="eastAsia" w:cs="Times New Roman"/>
                <w:b/>
                <w:bCs/>
                <w:snapToGrid w:val="0"/>
                <w:kern w:val="0"/>
                <w:sz w:val="24"/>
                <w:u w:val="single"/>
                <w:lang w:val="en-US" w:eastAsia="zh-CN"/>
              </w:rPr>
              <w:t>705.15</w:t>
            </w:r>
            <w:r>
              <w:rPr>
                <w:rFonts w:hint="default" w:ascii="Times New Roman" w:hAnsi="Times New Roman" w:cs="Times New Roman"/>
                <w:b/>
                <w:bCs/>
                <w:snapToGrid w:val="0"/>
                <w:kern w:val="0"/>
                <w:sz w:val="24"/>
                <w:u w:val="single"/>
              </w:rPr>
              <w:t>m</w:t>
            </w:r>
            <w:r>
              <w:rPr>
                <w:rFonts w:hint="default" w:ascii="Times New Roman" w:hAnsi="Times New Roman" w:cs="Times New Roman"/>
                <w:b/>
                <w:bCs/>
                <w:snapToGrid w:val="0"/>
                <w:kern w:val="0"/>
                <w:sz w:val="24"/>
                <w:u w:val="single"/>
                <w:vertAlign w:val="superscript"/>
              </w:rPr>
              <w:t>3</w:t>
            </w:r>
            <w:r>
              <w:rPr>
                <w:rFonts w:hint="default" w:ascii="Times New Roman" w:hAnsi="Times New Roman" w:cs="Times New Roman"/>
                <w:b/>
                <w:bCs/>
                <w:snapToGrid w:val="0"/>
                <w:kern w:val="0"/>
                <w:sz w:val="24"/>
                <w:u w:val="single"/>
              </w:rPr>
              <w:t>/d）</w:t>
            </w:r>
            <w:r>
              <w:rPr>
                <w:rFonts w:hint="eastAsia" w:cs="Times New Roman"/>
                <w:b/>
                <w:bCs/>
                <w:snapToGrid w:val="0"/>
                <w:kern w:val="0"/>
                <w:sz w:val="24"/>
                <w:u w:val="single"/>
                <w:lang w:eastAsia="zh-CN"/>
              </w:rPr>
              <w:t>，</w:t>
            </w:r>
            <w:r>
              <w:rPr>
                <w:rFonts w:hint="eastAsia" w:cs="Times New Roman"/>
                <w:b/>
                <w:bCs/>
                <w:snapToGrid w:val="0"/>
                <w:kern w:val="0"/>
                <w:sz w:val="24"/>
                <w:u w:val="single"/>
                <w:lang w:val="en-US" w:eastAsia="zh-CN"/>
              </w:rPr>
              <w:t>直接排入储水池，循环使用不外排</w:t>
            </w:r>
            <w:r>
              <w:rPr>
                <w:rFonts w:hint="default" w:ascii="Times New Roman" w:hAnsi="Times New Roman" w:cs="Times New Roman"/>
                <w:b/>
                <w:bCs/>
                <w:snapToGrid w:val="0"/>
                <w:kern w:val="0"/>
                <w:sz w:val="24"/>
                <w:u w:val="single"/>
              </w:rPr>
              <w:t>。</w:t>
            </w:r>
          </w:p>
          <w:p>
            <w:pPr>
              <w:spacing w:line="360" w:lineRule="auto"/>
              <w:ind w:firstLine="480" w:firstLineChars="200"/>
              <w:rPr>
                <w:snapToGrid w:val="0"/>
                <w:kern w:val="0"/>
                <w:sz w:val="24"/>
              </w:rPr>
            </w:pPr>
            <w:r>
              <w:rPr>
                <w:rFonts w:hint="eastAsia"/>
                <w:snapToGrid w:val="0"/>
                <w:kern w:val="0"/>
                <w:sz w:val="24"/>
              </w:rPr>
              <w:t>（</w:t>
            </w:r>
            <w:r>
              <w:rPr>
                <w:rFonts w:hint="eastAsia"/>
                <w:snapToGrid w:val="0"/>
                <w:kern w:val="0"/>
                <w:sz w:val="24"/>
                <w:lang w:val="en-US" w:eastAsia="zh-CN"/>
              </w:rPr>
              <w:t>6</w:t>
            </w:r>
            <w:r>
              <w:rPr>
                <w:rFonts w:hint="eastAsia"/>
                <w:snapToGrid w:val="0"/>
                <w:kern w:val="0"/>
                <w:sz w:val="24"/>
              </w:rPr>
              <w:t>）喷淋用水</w:t>
            </w:r>
          </w:p>
          <w:p>
            <w:pPr>
              <w:spacing w:line="360" w:lineRule="auto"/>
              <w:ind w:firstLine="480" w:firstLineChars="200"/>
              <w:rPr>
                <w:snapToGrid w:val="0"/>
                <w:kern w:val="0"/>
                <w:sz w:val="24"/>
              </w:rPr>
            </w:pPr>
            <w:r>
              <w:rPr>
                <w:rFonts w:hint="eastAsia"/>
                <w:snapToGrid w:val="0"/>
                <w:kern w:val="0"/>
                <w:sz w:val="24"/>
              </w:rPr>
              <w:t>本项目原料库设置干雾抑尘装置以达到降尘目的，经类比分析，喷头喷水流量为2.54~8.24m</w:t>
            </w:r>
            <w:r>
              <w:rPr>
                <w:rFonts w:hint="eastAsia"/>
                <w:snapToGrid w:val="0"/>
                <w:kern w:val="0"/>
                <w:sz w:val="24"/>
                <w:vertAlign w:val="superscript"/>
              </w:rPr>
              <w:t>3</w:t>
            </w:r>
            <w:r>
              <w:rPr>
                <w:rFonts w:hint="eastAsia"/>
                <w:snapToGrid w:val="0"/>
                <w:kern w:val="0"/>
                <w:sz w:val="24"/>
              </w:rPr>
              <w:t>/h，本次评价取5.5m</w:t>
            </w:r>
            <w:r>
              <w:rPr>
                <w:rFonts w:hint="eastAsia"/>
                <w:snapToGrid w:val="0"/>
                <w:kern w:val="0"/>
                <w:sz w:val="24"/>
                <w:vertAlign w:val="superscript"/>
              </w:rPr>
              <w:t>3</w:t>
            </w:r>
            <w:r>
              <w:rPr>
                <w:rFonts w:hint="eastAsia"/>
                <w:snapToGrid w:val="0"/>
                <w:kern w:val="0"/>
                <w:sz w:val="24"/>
              </w:rPr>
              <w:t>/h，项目每天洒水时间约为20min，根据计算，喷淋用水量约为1.83m</w:t>
            </w:r>
            <w:r>
              <w:rPr>
                <w:rFonts w:hint="eastAsia"/>
                <w:snapToGrid w:val="0"/>
                <w:kern w:val="0"/>
                <w:sz w:val="24"/>
                <w:vertAlign w:val="superscript"/>
              </w:rPr>
              <w:t>3</w:t>
            </w:r>
            <w:r>
              <w:rPr>
                <w:rFonts w:hint="eastAsia"/>
                <w:snapToGrid w:val="0"/>
                <w:kern w:val="0"/>
                <w:sz w:val="24"/>
              </w:rPr>
              <w:t>/d（402.6m</w:t>
            </w:r>
            <w:r>
              <w:rPr>
                <w:rFonts w:hint="eastAsia"/>
                <w:snapToGrid w:val="0"/>
                <w:kern w:val="0"/>
                <w:sz w:val="24"/>
                <w:vertAlign w:val="superscript"/>
              </w:rPr>
              <w:t>3</w:t>
            </w:r>
            <w:r>
              <w:rPr>
                <w:rFonts w:hint="eastAsia"/>
                <w:snapToGrid w:val="0"/>
                <w:kern w:val="0"/>
                <w:sz w:val="24"/>
              </w:rPr>
              <w:t>/a）。此部分水自然蒸发，无废水排放。</w:t>
            </w:r>
          </w:p>
          <w:p>
            <w:pPr>
              <w:spacing w:line="360" w:lineRule="auto"/>
              <w:ind w:firstLine="480" w:firstLineChars="200"/>
              <w:rPr>
                <w:snapToGrid w:val="0"/>
                <w:kern w:val="0"/>
                <w:sz w:val="24"/>
              </w:rPr>
            </w:pPr>
            <w:r>
              <w:rPr>
                <w:rFonts w:hint="eastAsia"/>
                <w:snapToGrid w:val="0"/>
                <w:kern w:val="0"/>
                <w:sz w:val="24"/>
              </w:rPr>
              <w:t>（</w:t>
            </w:r>
            <w:r>
              <w:rPr>
                <w:rFonts w:hint="eastAsia"/>
                <w:snapToGrid w:val="0"/>
                <w:kern w:val="0"/>
                <w:sz w:val="24"/>
                <w:lang w:val="en-US" w:eastAsia="zh-CN"/>
              </w:rPr>
              <w:t>7</w:t>
            </w:r>
            <w:r>
              <w:rPr>
                <w:rFonts w:hint="eastAsia"/>
                <w:snapToGrid w:val="0"/>
                <w:kern w:val="0"/>
                <w:sz w:val="24"/>
              </w:rPr>
              <w:t>）进出车辆冲洗废水</w:t>
            </w:r>
          </w:p>
          <w:p>
            <w:pPr>
              <w:spacing w:line="360" w:lineRule="auto"/>
              <w:ind w:firstLine="480" w:firstLineChars="200"/>
              <w:rPr>
                <w:snapToGrid w:val="0"/>
                <w:kern w:val="0"/>
                <w:sz w:val="24"/>
              </w:rPr>
            </w:pPr>
            <w:r>
              <w:rPr>
                <w:rFonts w:hint="eastAsia"/>
                <w:snapToGrid w:val="0"/>
                <w:kern w:val="0"/>
                <w:sz w:val="24"/>
              </w:rPr>
              <w:t>项目原料运输采用载重汽车，车辆轮胎会粘带泥沙，</w:t>
            </w:r>
            <w:r>
              <w:rPr>
                <w:rFonts w:hint="eastAsia"/>
                <w:bCs/>
                <w:snapToGrid w:val="0"/>
                <w:kern w:val="0"/>
                <w:sz w:val="24"/>
              </w:rPr>
              <w:t>采用感应式全车自动冲洗装置对进出车辆进行冲洗，以降低运输道路扬尘对沿线环境的污染影响。</w:t>
            </w:r>
            <w:r>
              <w:rPr>
                <w:rFonts w:hint="eastAsia"/>
                <w:snapToGrid w:val="0"/>
                <w:kern w:val="0"/>
                <w:sz w:val="24"/>
              </w:rPr>
              <w:t>项目原料、产品运输车辆共约4906辆/a，每辆车清洗用水量按1m</w:t>
            </w:r>
            <w:r>
              <w:rPr>
                <w:rFonts w:hint="eastAsia"/>
                <w:snapToGrid w:val="0"/>
                <w:kern w:val="0"/>
                <w:sz w:val="24"/>
                <w:vertAlign w:val="superscript"/>
              </w:rPr>
              <w:t>3</w:t>
            </w:r>
            <w:r>
              <w:rPr>
                <w:rFonts w:hint="eastAsia"/>
                <w:snapToGrid w:val="0"/>
                <w:kern w:val="0"/>
                <w:sz w:val="24"/>
              </w:rPr>
              <w:t>计算，则车辆冲洗用水量约4906m</w:t>
            </w:r>
            <w:r>
              <w:rPr>
                <w:rFonts w:hint="eastAsia"/>
                <w:snapToGrid w:val="0"/>
                <w:kern w:val="0"/>
                <w:sz w:val="24"/>
                <w:vertAlign w:val="superscript"/>
              </w:rPr>
              <w:t>3</w:t>
            </w:r>
            <w:r>
              <w:rPr>
                <w:rFonts w:hint="eastAsia"/>
                <w:snapToGrid w:val="0"/>
                <w:kern w:val="0"/>
                <w:sz w:val="24"/>
              </w:rPr>
              <w:t>/a，其中3924.8m</w:t>
            </w:r>
            <w:r>
              <w:rPr>
                <w:rFonts w:hint="eastAsia"/>
                <w:snapToGrid w:val="0"/>
                <w:kern w:val="0"/>
                <w:sz w:val="24"/>
                <w:vertAlign w:val="superscript"/>
              </w:rPr>
              <w:t>3</w:t>
            </w:r>
            <w:r>
              <w:rPr>
                <w:rFonts w:hint="eastAsia"/>
                <w:snapToGrid w:val="0"/>
                <w:kern w:val="0"/>
                <w:sz w:val="24"/>
              </w:rPr>
              <w:t>/a来自于沉淀池（100m</w:t>
            </w:r>
            <w:r>
              <w:rPr>
                <w:rFonts w:hint="eastAsia"/>
                <w:snapToGrid w:val="0"/>
                <w:kern w:val="0"/>
                <w:sz w:val="24"/>
                <w:vertAlign w:val="superscript"/>
              </w:rPr>
              <w:t>3</w:t>
            </w:r>
            <w:r>
              <w:rPr>
                <w:rFonts w:hint="eastAsia"/>
                <w:snapToGrid w:val="0"/>
                <w:kern w:val="0"/>
                <w:sz w:val="24"/>
              </w:rPr>
              <w:t>）的回用水，新鲜用水量为981.2m</w:t>
            </w:r>
            <w:r>
              <w:rPr>
                <w:rFonts w:hint="eastAsia"/>
                <w:snapToGrid w:val="0"/>
                <w:kern w:val="0"/>
                <w:sz w:val="24"/>
                <w:vertAlign w:val="superscript"/>
              </w:rPr>
              <w:t>3</w:t>
            </w:r>
            <w:r>
              <w:rPr>
                <w:rFonts w:hint="eastAsia"/>
                <w:snapToGrid w:val="0"/>
                <w:kern w:val="0"/>
                <w:sz w:val="24"/>
              </w:rPr>
              <w:t>/a，3.92m³/d。</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2.2生活废水</w:t>
            </w:r>
          </w:p>
          <w:p>
            <w:pPr>
              <w:spacing w:line="360" w:lineRule="auto"/>
              <w:ind w:firstLine="480" w:firstLineChars="200"/>
              <w:rPr>
                <w:sz w:val="24"/>
              </w:rPr>
            </w:pPr>
            <w:r>
              <w:rPr>
                <w:rFonts w:hint="eastAsia"/>
                <w:snapToGrid w:val="0"/>
                <w:kern w:val="0"/>
                <w:sz w:val="24"/>
              </w:rPr>
              <w:t>项目劳动定员120人，有60人在厂区食宿。年工作250天。根据河南省地方标准《工业与城镇生活用水定额》（DB41/T385-2014），食宿生活污水定额按100L/人·d，不食宿生活污水定额按50L/人·d，则用水量为9m</w:t>
            </w:r>
            <w:r>
              <w:rPr>
                <w:rFonts w:hint="eastAsia"/>
                <w:snapToGrid w:val="0"/>
                <w:kern w:val="0"/>
                <w:sz w:val="24"/>
                <w:vertAlign w:val="superscript"/>
              </w:rPr>
              <w:t>3</w:t>
            </w:r>
            <w:r>
              <w:rPr>
                <w:rFonts w:hint="eastAsia"/>
                <w:snapToGrid w:val="0"/>
                <w:kern w:val="0"/>
                <w:sz w:val="24"/>
              </w:rPr>
              <w:t>/d（2250m</w:t>
            </w:r>
            <w:r>
              <w:rPr>
                <w:rFonts w:hint="eastAsia"/>
                <w:snapToGrid w:val="0"/>
                <w:kern w:val="0"/>
                <w:sz w:val="24"/>
                <w:vertAlign w:val="superscript"/>
              </w:rPr>
              <w:t>3</w:t>
            </w:r>
            <w:r>
              <w:rPr>
                <w:rFonts w:hint="eastAsia"/>
                <w:snapToGrid w:val="0"/>
                <w:kern w:val="0"/>
                <w:sz w:val="24"/>
              </w:rPr>
              <w:t>/a），废水产生量按用水量的80%计，则本项目生活废水产生量为7.2m</w:t>
            </w:r>
            <w:r>
              <w:rPr>
                <w:rFonts w:hint="eastAsia"/>
                <w:snapToGrid w:val="0"/>
                <w:kern w:val="0"/>
                <w:sz w:val="24"/>
                <w:vertAlign w:val="superscript"/>
              </w:rPr>
              <w:t>3</w:t>
            </w:r>
            <w:r>
              <w:rPr>
                <w:rFonts w:hint="eastAsia"/>
                <w:snapToGrid w:val="0"/>
                <w:kern w:val="0"/>
                <w:sz w:val="24"/>
              </w:rPr>
              <w:t>/d（1800m</w:t>
            </w:r>
            <w:r>
              <w:rPr>
                <w:rFonts w:hint="eastAsia"/>
                <w:snapToGrid w:val="0"/>
                <w:kern w:val="0"/>
                <w:sz w:val="24"/>
                <w:vertAlign w:val="superscript"/>
              </w:rPr>
              <w:t>3</w:t>
            </w:r>
            <w:r>
              <w:rPr>
                <w:rFonts w:hint="eastAsia"/>
                <w:snapToGrid w:val="0"/>
                <w:kern w:val="0"/>
                <w:sz w:val="24"/>
              </w:rPr>
              <w:t>/a）。</w:t>
            </w:r>
            <w:r>
              <w:rPr>
                <w:rFonts w:hint="eastAsia"/>
                <w:sz w:val="24"/>
              </w:rPr>
              <w:t>废水中主要污染物为</w:t>
            </w:r>
            <w:r>
              <w:rPr>
                <w:sz w:val="24"/>
              </w:rPr>
              <w:t>COD</w:t>
            </w:r>
            <w:r>
              <w:rPr>
                <w:rFonts w:hint="eastAsia"/>
                <w:sz w:val="24"/>
              </w:rPr>
              <w:t>、</w:t>
            </w:r>
            <w:r>
              <w:rPr>
                <w:sz w:val="24"/>
              </w:rPr>
              <w:t>BOD</w:t>
            </w:r>
            <w:r>
              <w:rPr>
                <w:sz w:val="24"/>
                <w:vertAlign w:val="subscript"/>
              </w:rPr>
              <w:t>5</w:t>
            </w:r>
            <w:r>
              <w:rPr>
                <w:rFonts w:hint="eastAsia"/>
                <w:sz w:val="24"/>
              </w:rPr>
              <w:t>、</w:t>
            </w:r>
            <w:r>
              <w:rPr>
                <w:sz w:val="24"/>
              </w:rPr>
              <w:t>SS</w:t>
            </w:r>
            <w:r>
              <w:rPr>
                <w:rFonts w:hint="eastAsia"/>
                <w:sz w:val="24"/>
              </w:rPr>
              <w:t>、</w:t>
            </w:r>
            <w:r>
              <w:rPr>
                <w:sz w:val="24"/>
              </w:rPr>
              <w:t>NH</w:t>
            </w:r>
            <w:r>
              <w:rPr>
                <w:sz w:val="24"/>
                <w:vertAlign w:val="subscript"/>
              </w:rPr>
              <w:t>3</w:t>
            </w:r>
            <w:r>
              <w:rPr>
                <w:sz w:val="24"/>
              </w:rPr>
              <w:t>-N</w:t>
            </w:r>
            <w:r>
              <w:rPr>
                <w:rFonts w:hint="eastAsia"/>
                <w:sz w:val="24"/>
              </w:rPr>
              <w:t>、动植物油。</w:t>
            </w:r>
            <w:r>
              <w:rPr>
                <w:rFonts w:hint="eastAsia"/>
                <w:snapToGrid w:val="0"/>
                <w:kern w:val="0"/>
                <w:sz w:val="24"/>
              </w:rPr>
              <w:t>本项目生活污水中污染物</w:t>
            </w:r>
            <w:r>
              <w:rPr>
                <w:snapToGrid w:val="0"/>
                <w:kern w:val="0"/>
                <w:sz w:val="24"/>
              </w:rPr>
              <w:t>COD</w:t>
            </w:r>
            <w:r>
              <w:rPr>
                <w:rFonts w:hint="eastAsia"/>
                <w:snapToGrid w:val="0"/>
                <w:kern w:val="0"/>
                <w:sz w:val="24"/>
              </w:rPr>
              <w:t>、</w:t>
            </w:r>
            <w:r>
              <w:rPr>
                <w:snapToGrid w:val="0"/>
                <w:kern w:val="0"/>
                <w:sz w:val="24"/>
              </w:rPr>
              <w:t>BOD</w:t>
            </w:r>
            <w:r>
              <w:rPr>
                <w:snapToGrid w:val="0"/>
                <w:kern w:val="0"/>
                <w:sz w:val="24"/>
                <w:vertAlign w:val="subscript"/>
              </w:rPr>
              <w:t>5</w:t>
            </w:r>
            <w:r>
              <w:rPr>
                <w:rFonts w:hint="eastAsia"/>
                <w:snapToGrid w:val="0"/>
                <w:kern w:val="0"/>
                <w:sz w:val="24"/>
              </w:rPr>
              <w:t>、</w:t>
            </w:r>
            <w:r>
              <w:rPr>
                <w:snapToGrid w:val="0"/>
                <w:kern w:val="0"/>
                <w:sz w:val="24"/>
              </w:rPr>
              <w:t>NH</w:t>
            </w:r>
            <w:r>
              <w:rPr>
                <w:snapToGrid w:val="0"/>
                <w:kern w:val="0"/>
                <w:sz w:val="24"/>
                <w:vertAlign w:val="subscript"/>
              </w:rPr>
              <w:t>3</w:t>
            </w:r>
            <w:r>
              <w:rPr>
                <w:snapToGrid w:val="0"/>
                <w:kern w:val="0"/>
                <w:sz w:val="24"/>
              </w:rPr>
              <w:t>-N</w:t>
            </w:r>
            <w:r>
              <w:rPr>
                <w:rFonts w:hint="eastAsia"/>
                <w:snapToGrid w:val="0"/>
                <w:kern w:val="0"/>
                <w:sz w:val="24"/>
              </w:rPr>
              <w:t>、</w:t>
            </w:r>
            <w:r>
              <w:rPr>
                <w:snapToGrid w:val="0"/>
                <w:kern w:val="0"/>
                <w:sz w:val="24"/>
              </w:rPr>
              <w:t>SS</w:t>
            </w:r>
            <w:r>
              <w:rPr>
                <w:rFonts w:hint="eastAsia"/>
                <w:snapToGrid w:val="0"/>
                <w:kern w:val="0"/>
                <w:sz w:val="24"/>
              </w:rPr>
              <w:t>、动植物油浓度分别为</w:t>
            </w:r>
            <w:r>
              <w:rPr>
                <w:kern w:val="0"/>
                <w:sz w:val="24"/>
              </w:rPr>
              <w:t>300mg/L</w:t>
            </w:r>
            <w:r>
              <w:rPr>
                <w:rFonts w:hint="eastAsia" w:hAnsi="宋体"/>
                <w:kern w:val="0"/>
                <w:sz w:val="24"/>
              </w:rPr>
              <w:t>、</w:t>
            </w:r>
            <w:r>
              <w:rPr>
                <w:kern w:val="0"/>
                <w:sz w:val="24"/>
              </w:rPr>
              <w:t>150mg/L</w:t>
            </w:r>
            <w:r>
              <w:rPr>
                <w:rFonts w:hint="eastAsia" w:hAnsi="宋体"/>
                <w:kern w:val="0"/>
                <w:sz w:val="24"/>
              </w:rPr>
              <w:t>、</w:t>
            </w:r>
            <w:r>
              <w:rPr>
                <w:kern w:val="0"/>
                <w:sz w:val="24"/>
              </w:rPr>
              <w:t>25mg</w:t>
            </w:r>
            <w:r>
              <w:rPr>
                <w:sz w:val="24"/>
              </w:rPr>
              <w:t>/L</w:t>
            </w:r>
            <w:r>
              <w:rPr>
                <w:rFonts w:hint="eastAsia"/>
                <w:sz w:val="24"/>
              </w:rPr>
              <w:t>、200</w:t>
            </w:r>
            <w:r>
              <w:rPr>
                <w:sz w:val="24"/>
              </w:rPr>
              <w:t>mg/L</w:t>
            </w:r>
            <w:r>
              <w:rPr>
                <w:rFonts w:hint="eastAsia"/>
                <w:sz w:val="24"/>
              </w:rPr>
              <w:t>、20</w:t>
            </w:r>
            <w:r>
              <w:rPr>
                <w:kern w:val="0"/>
                <w:sz w:val="24"/>
              </w:rPr>
              <w:t>mg/L</w:t>
            </w:r>
            <w:r>
              <w:rPr>
                <w:rFonts w:hint="eastAsia"/>
                <w:kern w:val="0"/>
                <w:sz w:val="24"/>
              </w:rPr>
              <w:t>，则生活废水中各污染物产生量分别为：COD0.54t/a、BOD</w:t>
            </w:r>
            <w:r>
              <w:rPr>
                <w:rFonts w:hint="eastAsia"/>
                <w:kern w:val="0"/>
                <w:sz w:val="24"/>
                <w:vertAlign w:val="subscript"/>
              </w:rPr>
              <w:t>5</w:t>
            </w:r>
            <w:r>
              <w:rPr>
                <w:rFonts w:hint="eastAsia"/>
                <w:kern w:val="0"/>
                <w:sz w:val="24"/>
              </w:rPr>
              <w:t>0.27t/a、</w:t>
            </w:r>
            <w:r>
              <w:rPr>
                <w:snapToGrid w:val="0"/>
                <w:kern w:val="0"/>
                <w:sz w:val="24"/>
              </w:rPr>
              <w:t>NH</w:t>
            </w:r>
            <w:r>
              <w:rPr>
                <w:snapToGrid w:val="0"/>
                <w:kern w:val="0"/>
                <w:sz w:val="24"/>
                <w:vertAlign w:val="subscript"/>
              </w:rPr>
              <w:t>3</w:t>
            </w:r>
            <w:r>
              <w:rPr>
                <w:snapToGrid w:val="0"/>
                <w:kern w:val="0"/>
                <w:sz w:val="24"/>
              </w:rPr>
              <w:t>-N</w:t>
            </w:r>
            <w:r>
              <w:rPr>
                <w:rFonts w:hint="eastAsia"/>
                <w:snapToGrid w:val="0"/>
                <w:kern w:val="0"/>
                <w:sz w:val="24"/>
              </w:rPr>
              <w:t>0.045t/a、</w:t>
            </w:r>
            <w:r>
              <w:rPr>
                <w:snapToGrid w:val="0"/>
                <w:kern w:val="0"/>
                <w:sz w:val="24"/>
              </w:rPr>
              <w:t>SS</w:t>
            </w:r>
            <w:r>
              <w:rPr>
                <w:rFonts w:hint="eastAsia"/>
                <w:snapToGrid w:val="0"/>
                <w:kern w:val="0"/>
                <w:sz w:val="24"/>
              </w:rPr>
              <w:t>0.36t/a、动植物油0.036t/a</w:t>
            </w:r>
            <w:r>
              <w:rPr>
                <w:rFonts w:hint="eastAsia"/>
                <w:sz w:val="24"/>
              </w:rPr>
              <w:t>。食堂废水经隔油池处理后，与其他生活废水一同</w:t>
            </w:r>
            <w:r>
              <w:rPr>
                <w:rFonts w:hint="eastAsia"/>
                <w:sz w:val="24"/>
                <w:lang w:val="en-GB"/>
              </w:rPr>
              <w:t>汇入化粪池处理，</w:t>
            </w:r>
            <w:r>
              <w:rPr>
                <w:rFonts w:hint="eastAsia"/>
                <w:sz w:val="24"/>
              </w:rPr>
              <w:t>处理后排入集聚区污水处理厂处理后，综合利用不外排。</w:t>
            </w:r>
          </w:p>
          <w:p>
            <w:pPr>
              <w:spacing w:line="360" w:lineRule="auto"/>
              <w:ind w:firstLine="480" w:firstLineChars="200"/>
              <w:rPr>
                <w:rFonts w:hint="eastAsia"/>
                <w:snapToGrid w:val="0"/>
                <w:kern w:val="0"/>
                <w:sz w:val="24"/>
              </w:rPr>
            </w:pPr>
            <w:r>
              <w:rPr>
                <w:rFonts w:hint="eastAsia"/>
                <w:snapToGrid w:val="0"/>
                <w:kern w:val="0"/>
                <w:sz w:val="24"/>
              </w:rPr>
              <w:t>本项目废水产排情况见表4-1</w:t>
            </w:r>
            <w:r>
              <w:rPr>
                <w:rFonts w:hint="eastAsia"/>
                <w:snapToGrid w:val="0"/>
                <w:kern w:val="0"/>
                <w:sz w:val="24"/>
                <w:lang w:val="en-US" w:eastAsia="zh-CN"/>
              </w:rPr>
              <w:t>4</w:t>
            </w:r>
            <w:r>
              <w:rPr>
                <w:rFonts w:hint="eastAsia"/>
                <w:snapToGrid w:val="0"/>
                <w:kern w:val="0"/>
                <w:sz w:val="24"/>
              </w:rPr>
              <w:t>。</w:t>
            </w:r>
          </w:p>
          <w:p>
            <w:pPr>
              <w:spacing w:line="360" w:lineRule="auto"/>
              <w:ind w:firstLine="480" w:firstLineChars="200"/>
              <w:rPr>
                <w:rFonts w:hint="eastAsia"/>
                <w:snapToGrid w:val="0"/>
                <w:kern w:val="0"/>
                <w:sz w:val="24"/>
              </w:rPr>
            </w:pPr>
          </w:p>
          <w:p>
            <w:pPr>
              <w:pStyle w:val="44"/>
              <w:spacing w:line="360" w:lineRule="auto"/>
              <w:rPr>
                <w:rFonts w:eastAsia="宋体"/>
                <w:sz w:val="24"/>
                <w:szCs w:val="24"/>
              </w:rPr>
            </w:pPr>
            <w:r>
              <w:rPr>
                <w:rFonts w:hint="eastAsia" w:eastAsia="宋体"/>
                <w:sz w:val="24"/>
                <w:szCs w:val="24"/>
              </w:rPr>
              <w:t>表4-1</w:t>
            </w:r>
            <w:r>
              <w:rPr>
                <w:rFonts w:hint="eastAsia" w:eastAsia="宋体"/>
                <w:sz w:val="24"/>
                <w:szCs w:val="24"/>
                <w:lang w:val="en-US" w:eastAsia="zh-CN"/>
              </w:rPr>
              <w:t>4</w:t>
            </w:r>
            <w:r>
              <w:rPr>
                <w:rFonts w:hint="eastAsia" w:eastAsia="宋体"/>
                <w:sz w:val="24"/>
                <w:szCs w:val="24"/>
              </w:rPr>
              <w:t xml:space="preserve">    本项目废水产排情况一览表</w:t>
            </w:r>
          </w:p>
          <w:tbl>
            <w:tblPr>
              <w:tblStyle w:val="26"/>
              <w:tblW w:w="79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1"/>
              <w:gridCol w:w="1730"/>
              <w:gridCol w:w="1320"/>
              <w:gridCol w:w="1300"/>
              <w:gridCol w:w="32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101" w:type="dxa"/>
                  <w:gridSpan w:val="2"/>
                  <w:vAlign w:val="center"/>
                </w:tcPr>
                <w:p>
                  <w:pPr>
                    <w:snapToGrid w:val="0"/>
                    <w:jc w:val="center"/>
                    <w:rPr>
                      <w:b/>
                      <w:snapToGrid w:val="0"/>
                      <w:kern w:val="0"/>
                    </w:rPr>
                  </w:pPr>
                  <w:r>
                    <w:rPr>
                      <w:rFonts w:hint="eastAsia"/>
                      <w:b/>
                      <w:snapToGrid w:val="0"/>
                      <w:kern w:val="0"/>
                    </w:rPr>
                    <w:t>废水类型</w:t>
                  </w:r>
                </w:p>
              </w:tc>
              <w:tc>
                <w:tcPr>
                  <w:tcW w:w="1320" w:type="dxa"/>
                  <w:vAlign w:val="center"/>
                </w:tcPr>
                <w:p>
                  <w:pPr>
                    <w:snapToGrid w:val="0"/>
                    <w:jc w:val="center"/>
                    <w:rPr>
                      <w:b/>
                      <w:snapToGrid w:val="0"/>
                      <w:kern w:val="0"/>
                    </w:rPr>
                  </w:pPr>
                  <w:r>
                    <w:rPr>
                      <w:rFonts w:hint="eastAsia"/>
                      <w:b/>
                      <w:snapToGrid w:val="0"/>
                      <w:kern w:val="0"/>
                    </w:rPr>
                    <w:t>用水量（m</w:t>
                  </w:r>
                  <w:r>
                    <w:rPr>
                      <w:rFonts w:hint="eastAsia"/>
                      <w:b/>
                      <w:snapToGrid w:val="0"/>
                      <w:kern w:val="0"/>
                      <w:vertAlign w:val="superscript"/>
                    </w:rPr>
                    <w:t>3</w:t>
                  </w:r>
                  <w:r>
                    <w:rPr>
                      <w:rFonts w:hint="eastAsia"/>
                      <w:b/>
                      <w:snapToGrid w:val="0"/>
                      <w:kern w:val="0"/>
                    </w:rPr>
                    <w:t>/a）</w:t>
                  </w:r>
                </w:p>
              </w:tc>
              <w:tc>
                <w:tcPr>
                  <w:tcW w:w="1300" w:type="dxa"/>
                  <w:vAlign w:val="center"/>
                </w:tcPr>
                <w:p>
                  <w:pPr>
                    <w:snapToGrid w:val="0"/>
                    <w:jc w:val="center"/>
                    <w:rPr>
                      <w:b/>
                      <w:snapToGrid w:val="0"/>
                      <w:kern w:val="0"/>
                    </w:rPr>
                  </w:pPr>
                  <w:r>
                    <w:rPr>
                      <w:rFonts w:hint="eastAsia"/>
                      <w:b/>
                      <w:snapToGrid w:val="0"/>
                      <w:kern w:val="0"/>
                    </w:rPr>
                    <w:t>产生量（m</w:t>
                  </w:r>
                  <w:r>
                    <w:rPr>
                      <w:rFonts w:hint="eastAsia"/>
                      <w:b/>
                      <w:snapToGrid w:val="0"/>
                      <w:kern w:val="0"/>
                      <w:vertAlign w:val="superscript"/>
                    </w:rPr>
                    <w:t>3</w:t>
                  </w:r>
                  <w:r>
                    <w:rPr>
                      <w:rFonts w:hint="eastAsia"/>
                      <w:b/>
                      <w:snapToGrid w:val="0"/>
                      <w:kern w:val="0"/>
                    </w:rPr>
                    <w:t>/a）</w:t>
                  </w:r>
                </w:p>
              </w:tc>
              <w:tc>
                <w:tcPr>
                  <w:tcW w:w="3215" w:type="dxa"/>
                  <w:vAlign w:val="center"/>
                </w:tcPr>
                <w:p>
                  <w:pPr>
                    <w:snapToGrid w:val="0"/>
                    <w:jc w:val="center"/>
                    <w:rPr>
                      <w:b/>
                      <w:snapToGrid w:val="0"/>
                      <w:kern w:val="0"/>
                    </w:rPr>
                  </w:pPr>
                  <w:r>
                    <w:rPr>
                      <w:rFonts w:hint="eastAsia"/>
                      <w:b/>
                      <w:snapToGrid w:val="0"/>
                      <w:kern w:val="0"/>
                    </w:rPr>
                    <w:t>治理措施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71" w:type="dxa"/>
                  <w:vMerge w:val="restart"/>
                  <w:vAlign w:val="center"/>
                </w:tcPr>
                <w:p>
                  <w:pPr>
                    <w:snapToGrid w:val="0"/>
                    <w:jc w:val="center"/>
                    <w:rPr>
                      <w:snapToGrid w:val="0"/>
                      <w:kern w:val="0"/>
                    </w:rPr>
                  </w:pPr>
                  <w:r>
                    <w:rPr>
                      <w:rFonts w:hint="eastAsia"/>
                      <w:snapToGrid w:val="0"/>
                      <w:kern w:val="0"/>
                    </w:rPr>
                    <w:t>生产水</w:t>
                  </w:r>
                </w:p>
              </w:tc>
              <w:tc>
                <w:tcPr>
                  <w:tcW w:w="1730" w:type="dxa"/>
                  <w:vAlign w:val="center"/>
                </w:tcPr>
                <w:p>
                  <w:pPr>
                    <w:snapToGrid w:val="0"/>
                    <w:jc w:val="center"/>
                    <w:rPr>
                      <w:snapToGrid w:val="0"/>
                      <w:kern w:val="0"/>
                    </w:rPr>
                  </w:pPr>
                  <w:r>
                    <w:rPr>
                      <w:rFonts w:hint="eastAsia"/>
                      <w:snapToGrid w:val="0"/>
                      <w:kern w:val="0"/>
                    </w:rPr>
                    <w:t>洗矿水</w:t>
                  </w:r>
                </w:p>
              </w:tc>
              <w:tc>
                <w:tcPr>
                  <w:tcW w:w="1320" w:type="dxa"/>
                  <w:vAlign w:val="center"/>
                </w:tcPr>
                <w:p>
                  <w:pPr>
                    <w:snapToGrid w:val="0"/>
                    <w:jc w:val="center"/>
                    <w:rPr>
                      <w:snapToGrid w:val="0"/>
                      <w:kern w:val="0"/>
                    </w:rPr>
                  </w:pPr>
                  <w:r>
                    <w:rPr>
                      <w:rFonts w:hint="eastAsia"/>
                      <w:snapToGrid w:val="0"/>
                      <w:kern w:val="0"/>
                    </w:rPr>
                    <w:t>640</w:t>
                  </w:r>
                </w:p>
              </w:tc>
              <w:tc>
                <w:tcPr>
                  <w:tcW w:w="1300" w:type="dxa"/>
                  <w:vAlign w:val="center"/>
                </w:tcPr>
                <w:p>
                  <w:pPr>
                    <w:snapToGrid w:val="0"/>
                    <w:jc w:val="center"/>
                    <w:rPr>
                      <w:snapToGrid w:val="0"/>
                      <w:kern w:val="0"/>
                    </w:rPr>
                  </w:pPr>
                  <w:r>
                    <w:rPr>
                      <w:rFonts w:hint="eastAsia"/>
                      <w:snapToGrid w:val="0"/>
                      <w:kern w:val="0"/>
                    </w:rPr>
                    <w:t>608</w:t>
                  </w:r>
                </w:p>
              </w:tc>
              <w:tc>
                <w:tcPr>
                  <w:tcW w:w="3215" w:type="dxa"/>
                  <w:vMerge w:val="restart"/>
                  <w:vAlign w:val="center"/>
                </w:tcPr>
                <w:p>
                  <w:pPr>
                    <w:snapToGrid w:val="0"/>
                    <w:jc w:val="center"/>
                    <w:rPr>
                      <w:snapToGrid w:val="0"/>
                      <w:kern w:val="0"/>
                    </w:rPr>
                  </w:pPr>
                  <w:r>
                    <w:rPr>
                      <w:rFonts w:hint="eastAsia"/>
                      <w:snapToGrid w:val="0"/>
                      <w:kern w:val="0"/>
                    </w:rPr>
                    <w:t>进入1#浓缩罐，浓缩处理后，储水池暂存，循环使用，不外排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71" w:type="dxa"/>
                  <w:vMerge w:val="continue"/>
                  <w:vAlign w:val="center"/>
                </w:tcPr>
                <w:p>
                  <w:pPr>
                    <w:snapToGrid w:val="0"/>
                    <w:jc w:val="center"/>
                    <w:rPr>
                      <w:b/>
                      <w:snapToGrid w:val="0"/>
                      <w:kern w:val="0"/>
                    </w:rPr>
                  </w:pPr>
                </w:p>
              </w:tc>
              <w:tc>
                <w:tcPr>
                  <w:tcW w:w="1730" w:type="dxa"/>
                  <w:vAlign w:val="center"/>
                </w:tcPr>
                <w:p>
                  <w:pPr>
                    <w:snapToGrid w:val="0"/>
                    <w:jc w:val="center"/>
                    <w:rPr>
                      <w:snapToGrid w:val="0"/>
                      <w:kern w:val="0"/>
                    </w:rPr>
                  </w:pPr>
                  <w:r>
                    <w:rPr>
                      <w:rFonts w:hint="eastAsia"/>
                      <w:snapToGrid w:val="0"/>
                      <w:kern w:val="0"/>
                    </w:rPr>
                    <w:t>电磁除铁水</w:t>
                  </w:r>
                </w:p>
              </w:tc>
              <w:tc>
                <w:tcPr>
                  <w:tcW w:w="1320" w:type="dxa"/>
                  <w:vAlign w:val="center"/>
                </w:tcPr>
                <w:p>
                  <w:pPr>
                    <w:snapToGrid w:val="0"/>
                    <w:jc w:val="center"/>
                    <w:rPr>
                      <w:snapToGrid w:val="0"/>
                      <w:kern w:val="0"/>
                    </w:rPr>
                  </w:pPr>
                  <w:r>
                    <w:rPr>
                      <w:rFonts w:hint="eastAsia"/>
                      <w:snapToGrid w:val="0"/>
                      <w:kern w:val="0"/>
                    </w:rPr>
                    <w:t>40000</w:t>
                  </w:r>
                </w:p>
              </w:tc>
              <w:tc>
                <w:tcPr>
                  <w:tcW w:w="1300" w:type="dxa"/>
                  <w:vAlign w:val="center"/>
                </w:tcPr>
                <w:p>
                  <w:pPr>
                    <w:snapToGrid w:val="0"/>
                    <w:jc w:val="center"/>
                    <w:rPr>
                      <w:snapToGrid w:val="0"/>
                      <w:kern w:val="0"/>
                    </w:rPr>
                  </w:pPr>
                  <w:r>
                    <w:rPr>
                      <w:rFonts w:hint="eastAsia"/>
                      <w:snapToGrid w:val="0"/>
                      <w:kern w:val="0"/>
                    </w:rPr>
                    <w:t>40000</w:t>
                  </w:r>
                </w:p>
              </w:tc>
              <w:tc>
                <w:tcPr>
                  <w:tcW w:w="3215" w:type="dxa"/>
                  <w:vMerge w:val="continue"/>
                  <w:vAlign w:val="center"/>
                </w:tcPr>
                <w:p>
                  <w:pPr>
                    <w:snapToGrid w:val="0"/>
                    <w:jc w:val="center"/>
                    <w:rPr>
                      <w:snapToGrid w:val="0"/>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71" w:type="dxa"/>
                  <w:vMerge w:val="continue"/>
                  <w:vAlign w:val="center"/>
                </w:tcPr>
                <w:p>
                  <w:pPr>
                    <w:snapToGrid w:val="0"/>
                    <w:jc w:val="center"/>
                    <w:rPr>
                      <w:snapToGrid w:val="0"/>
                      <w:kern w:val="0"/>
                    </w:rPr>
                  </w:pPr>
                </w:p>
              </w:tc>
              <w:tc>
                <w:tcPr>
                  <w:tcW w:w="1730" w:type="dxa"/>
                  <w:vAlign w:val="center"/>
                </w:tcPr>
                <w:p>
                  <w:pPr>
                    <w:snapToGrid w:val="0"/>
                    <w:jc w:val="center"/>
                    <w:rPr>
                      <w:snapToGrid w:val="0"/>
                      <w:kern w:val="0"/>
                    </w:rPr>
                  </w:pPr>
                  <w:r>
                    <w:rPr>
                      <w:rFonts w:hint="eastAsia"/>
                      <w:snapToGrid w:val="0"/>
                      <w:kern w:val="0"/>
                    </w:rPr>
                    <w:t>分筛水</w:t>
                  </w:r>
                </w:p>
              </w:tc>
              <w:tc>
                <w:tcPr>
                  <w:tcW w:w="1320" w:type="dxa"/>
                  <w:vAlign w:val="center"/>
                </w:tcPr>
                <w:p>
                  <w:pPr>
                    <w:snapToGrid w:val="0"/>
                    <w:jc w:val="center"/>
                    <w:rPr>
                      <w:snapToGrid w:val="0"/>
                      <w:kern w:val="0"/>
                    </w:rPr>
                  </w:pPr>
                  <w:r>
                    <w:rPr>
                      <w:rFonts w:hint="eastAsia"/>
                      <w:snapToGrid w:val="0"/>
                      <w:kern w:val="0"/>
                    </w:rPr>
                    <w:t>28456</w:t>
                  </w:r>
                </w:p>
              </w:tc>
              <w:tc>
                <w:tcPr>
                  <w:tcW w:w="1300" w:type="dxa"/>
                  <w:vAlign w:val="center"/>
                </w:tcPr>
                <w:p>
                  <w:pPr>
                    <w:snapToGrid w:val="0"/>
                    <w:jc w:val="center"/>
                    <w:rPr>
                      <w:snapToGrid w:val="0"/>
                      <w:kern w:val="0"/>
                    </w:rPr>
                  </w:pPr>
                  <w:r>
                    <w:rPr>
                      <w:rFonts w:hint="eastAsia"/>
                      <w:snapToGrid w:val="0"/>
                      <w:kern w:val="0"/>
                    </w:rPr>
                    <w:t>28456</w:t>
                  </w:r>
                </w:p>
              </w:tc>
              <w:tc>
                <w:tcPr>
                  <w:tcW w:w="3215" w:type="dxa"/>
                  <w:vAlign w:val="center"/>
                </w:tcPr>
                <w:p>
                  <w:pPr>
                    <w:snapToGrid w:val="0"/>
                    <w:jc w:val="center"/>
                    <w:rPr>
                      <w:snapToGrid w:val="0"/>
                      <w:kern w:val="0"/>
                      <w:szCs w:val="21"/>
                    </w:rPr>
                  </w:pPr>
                  <w:r>
                    <w:rPr>
                      <w:rFonts w:hint="eastAsia"/>
                      <w:snapToGrid w:val="0"/>
                      <w:kern w:val="0"/>
                    </w:rPr>
                    <w:t>储水池暂存，循环使用，不外排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71" w:type="dxa"/>
                  <w:vMerge w:val="continue"/>
                  <w:vAlign w:val="center"/>
                </w:tcPr>
                <w:p>
                  <w:pPr>
                    <w:snapToGrid w:val="0"/>
                    <w:jc w:val="center"/>
                    <w:rPr>
                      <w:snapToGrid w:val="0"/>
                      <w:kern w:val="0"/>
                    </w:rPr>
                  </w:pPr>
                </w:p>
              </w:tc>
              <w:tc>
                <w:tcPr>
                  <w:tcW w:w="1730" w:type="dxa"/>
                  <w:vAlign w:val="center"/>
                </w:tcPr>
                <w:p>
                  <w:pPr>
                    <w:snapToGrid w:val="0"/>
                    <w:jc w:val="center"/>
                    <w:rPr>
                      <w:snapToGrid w:val="0"/>
                      <w:kern w:val="0"/>
                    </w:rPr>
                  </w:pPr>
                  <w:r>
                    <w:rPr>
                      <w:rFonts w:hint="eastAsia"/>
                      <w:snapToGrid w:val="0"/>
                      <w:kern w:val="0"/>
                    </w:rPr>
                    <w:t>球磨机水</w:t>
                  </w:r>
                </w:p>
              </w:tc>
              <w:tc>
                <w:tcPr>
                  <w:tcW w:w="1320" w:type="dxa"/>
                  <w:vAlign w:val="center"/>
                </w:tcPr>
                <w:p>
                  <w:pPr>
                    <w:snapToGrid w:val="0"/>
                    <w:jc w:val="center"/>
                    <w:rPr>
                      <w:snapToGrid w:val="0"/>
                      <w:kern w:val="0"/>
                    </w:rPr>
                  </w:pPr>
                  <w:r>
                    <w:rPr>
                      <w:rFonts w:hint="eastAsia"/>
                      <w:snapToGrid w:val="0"/>
                      <w:kern w:val="0"/>
                    </w:rPr>
                    <w:t>177848.92</w:t>
                  </w:r>
                </w:p>
              </w:tc>
              <w:tc>
                <w:tcPr>
                  <w:tcW w:w="1300" w:type="dxa"/>
                  <w:vAlign w:val="center"/>
                </w:tcPr>
                <w:p>
                  <w:pPr>
                    <w:snapToGrid w:val="0"/>
                    <w:jc w:val="center"/>
                    <w:rPr>
                      <w:snapToGrid w:val="0"/>
                      <w:kern w:val="0"/>
                    </w:rPr>
                  </w:pPr>
                  <w:r>
                    <w:rPr>
                      <w:rFonts w:hint="eastAsia"/>
                      <w:snapToGrid w:val="0"/>
                      <w:kern w:val="0"/>
                    </w:rPr>
                    <w:t>0</w:t>
                  </w:r>
                </w:p>
              </w:tc>
              <w:tc>
                <w:tcPr>
                  <w:tcW w:w="3215" w:type="dxa"/>
                  <w:vAlign w:val="center"/>
                </w:tcPr>
                <w:p>
                  <w:pPr>
                    <w:snapToGrid w:val="0"/>
                    <w:jc w:val="center"/>
                    <w:rPr>
                      <w:snapToGrid w:val="0"/>
                      <w:kern w:val="0"/>
                    </w:rPr>
                  </w:pPr>
                  <w:r>
                    <w:rPr>
                      <w:rFonts w:hint="eastAsia"/>
                      <w:snapToGrid w:val="0"/>
                      <w:kern w:val="0"/>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71" w:type="dxa"/>
                  <w:vMerge w:val="continue"/>
                  <w:vAlign w:val="center"/>
                </w:tcPr>
                <w:p>
                  <w:pPr>
                    <w:snapToGrid w:val="0"/>
                    <w:jc w:val="center"/>
                    <w:rPr>
                      <w:snapToGrid w:val="0"/>
                      <w:kern w:val="0"/>
                    </w:rPr>
                  </w:pPr>
                </w:p>
              </w:tc>
              <w:tc>
                <w:tcPr>
                  <w:tcW w:w="1730" w:type="dxa"/>
                  <w:vAlign w:val="center"/>
                </w:tcPr>
                <w:p>
                  <w:pPr>
                    <w:snapToGrid w:val="0"/>
                    <w:jc w:val="center"/>
                    <w:rPr>
                      <w:snapToGrid w:val="0"/>
                      <w:kern w:val="0"/>
                    </w:rPr>
                  </w:pPr>
                  <w:r>
                    <w:rPr>
                      <w:rFonts w:hint="eastAsia"/>
                      <w:snapToGrid w:val="0"/>
                      <w:kern w:val="0"/>
                    </w:rPr>
                    <w:t>喷淋水</w:t>
                  </w:r>
                </w:p>
              </w:tc>
              <w:tc>
                <w:tcPr>
                  <w:tcW w:w="1320" w:type="dxa"/>
                  <w:vAlign w:val="center"/>
                </w:tcPr>
                <w:p>
                  <w:pPr>
                    <w:snapToGrid w:val="0"/>
                    <w:jc w:val="center"/>
                    <w:rPr>
                      <w:snapToGrid w:val="0"/>
                      <w:kern w:val="0"/>
                    </w:rPr>
                  </w:pPr>
                  <w:r>
                    <w:rPr>
                      <w:rFonts w:hint="eastAsia"/>
                      <w:snapToGrid w:val="0"/>
                      <w:kern w:val="0"/>
                    </w:rPr>
                    <w:t>402.6</w:t>
                  </w:r>
                </w:p>
              </w:tc>
              <w:tc>
                <w:tcPr>
                  <w:tcW w:w="1300" w:type="dxa"/>
                  <w:vAlign w:val="center"/>
                </w:tcPr>
                <w:p>
                  <w:pPr>
                    <w:snapToGrid w:val="0"/>
                    <w:jc w:val="center"/>
                    <w:rPr>
                      <w:snapToGrid w:val="0"/>
                      <w:kern w:val="0"/>
                    </w:rPr>
                  </w:pPr>
                  <w:r>
                    <w:rPr>
                      <w:rFonts w:hint="eastAsia"/>
                      <w:snapToGrid w:val="0"/>
                      <w:kern w:val="0"/>
                    </w:rPr>
                    <w:t>0</w:t>
                  </w:r>
                </w:p>
              </w:tc>
              <w:tc>
                <w:tcPr>
                  <w:tcW w:w="3215" w:type="dxa"/>
                  <w:vAlign w:val="center"/>
                </w:tcPr>
                <w:p>
                  <w:pPr>
                    <w:snapToGrid w:val="0"/>
                    <w:jc w:val="center"/>
                    <w:rPr>
                      <w:snapToGrid w:val="0"/>
                      <w:kern w:val="0"/>
                    </w:rPr>
                  </w:pPr>
                  <w:r>
                    <w:rPr>
                      <w:rFonts w:hint="eastAsia"/>
                      <w:snapToGrid w:val="0"/>
                      <w:kern w:val="0"/>
                    </w:rPr>
                    <w:t>自然蒸发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371" w:type="dxa"/>
                  <w:vMerge w:val="continue"/>
                  <w:vAlign w:val="center"/>
                </w:tcPr>
                <w:p>
                  <w:pPr>
                    <w:snapToGrid w:val="0"/>
                    <w:jc w:val="center"/>
                    <w:rPr>
                      <w:snapToGrid w:val="0"/>
                      <w:kern w:val="0"/>
                    </w:rPr>
                  </w:pPr>
                </w:p>
              </w:tc>
              <w:tc>
                <w:tcPr>
                  <w:tcW w:w="1730" w:type="dxa"/>
                  <w:vAlign w:val="center"/>
                </w:tcPr>
                <w:p>
                  <w:pPr>
                    <w:snapToGrid w:val="0"/>
                    <w:jc w:val="center"/>
                    <w:rPr>
                      <w:snapToGrid w:val="0"/>
                      <w:kern w:val="0"/>
                    </w:rPr>
                  </w:pPr>
                  <w:r>
                    <w:rPr>
                      <w:rFonts w:hint="eastAsia"/>
                      <w:snapToGrid w:val="0"/>
                      <w:kern w:val="0"/>
                    </w:rPr>
                    <w:t>进出车辆冲洗水</w:t>
                  </w:r>
                </w:p>
              </w:tc>
              <w:tc>
                <w:tcPr>
                  <w:tcW w:w="1320" w:type="dxa"/>
                  <w:vAlign w:val="center"/>
                </w:tcPr>
                <w:p>
                  <w:pPr>
                    <w:snapToGrid w:val="0"/>
                    <w:jc w:val="center"/>
                    <w:rPr>
                      <w:snapToGrid w:val="0"/>
                      <w:kern w:val="0"/>
                    </w:rPr>
                  </w:pPr>
                  <w:r>
                    <w:rPr>
                      <w:rFonts w:hint="eastAsia"/>
                      <w:snapToGrid w:val="0"/>
                      <w:kern w:val="0"/>
                    </w:rPr>
                    <w:t>4906</w:t>
                  </w:r>
                </w:p>
              </w:tc>
              <w:tc>
                <w:tcPr>
                  <w:tcW w:w="1300" w:type="dxa"/>
                  <w:vAlign w:val="center"/>
                </w:tcPr>
                <w:p>
                  <w:pPr>
                    <w:snapToGrid w:val="0"/>
                    <w:jc w:val="center"/>
                    <w:rPr>
                      <w:snapToGrid w:val="0"/>
                      <w:kern w:val="0"/>
                    </w:rPr>
                  </w:pPr>
                  <w:r>
                    <w:rPr>
                      <w:rFonts w:hint="eastAsia"/>
                      <w:snapToGrid w:val="0"/>
                      <w:kern w:val="0"/>
                    </w:rPr>
                    <w:t>3924.8</w:t>
                  </w:r>
                </w:p>
              </w:tc>
              <w:tc>
                <w:tcPr>
                  <w:tcW w:w="3215" w:type="dxa"/>
                  <w:vAlign w:val="center"/>
                </w:tcPr>
                <w:p>
                  <w:pPr>
                    <w:snapToGrid w:val="0"/>
                    <w:jc w:val="center"/>
                    <w:rPr>
                      <w:snapToGrid w:val="0"/>
                      <w:kern w:val="0"/>
                    </w:rPr>
                  </w:pPr>
                  <w:r>
                    <w:rPr>
                      <w:rFonts w:hint="eastAsia"/>
                      <w:snapToGrid w:val="0"/>
                      <w:kern w:val="0"/>
                    </w:rPr>
                    <w:t>沉淀池沉淀后，循环使用不外排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trPr>
              <w:tc>
                <w:tcPr>
                  <w:tcW w:w="2101" w:type="dxa"/>
                  <w:gridSpan w:val="2"/>
                  <w:vAlign w:val="center"/>
                </w:tcPr>
                <w:p>
                  <w:pPr>
                    <w:snapToGrid w:val="0"/>
                    <w:jc w:val="center"/>
                    <w:rPr>
                      <w:snapToGrid w:val="0"/>
                      <w:kern w:val="0"/>
                    </w:rPr>
                  </w:pPr>
                  <w:r>
                    <w:rPr>
                      <w:rFonts w:hint="eastAsia"/>
                      <w:snapToGrid w:val="0"/>
                      <w:kern w:val="0"/>
                    </w:rPr>
                    <w:t>生活水</w:t>
                  </w:r>
                </w:p>
              </w:tc>
              <w:tc>
                <w:tcPr>
                  <w:tcW w:w="1320" w:type="dxa"/>
                  <w:vAlign w:val="center"/>
                </w:tcPr>
                <w:p>
                  <w:pPr>
                    <w:snapToGrid w:val="0"/>
                    <w:jc w:val="center"/>
                    <w:rPr>
                      <w:snapToGrid w:val="0"/>
                      <w:kern w:val="0"/>
                    </w:rPr>
                  </w:pPr>
                  <w:r>
                    <w:rPr>
                      <w:rFonts w:hint="eastAsia"/>
                      <w:snapToGrid w:val="0"/>
                      <w:kern w:val="0"/>
                    </w:rPr>
                    <w:t>2250</w:t>
                  </w:r>
                </w:p>
              </w:tc>
              <w:tc>
                <w:tcPr>
                  <w:tcW w:w="1300" w:type="dxa"/>
                  <w:vAlign w:val="center"/>
                </w:tcPr>
                <w:p>
                  <w:pPr>
                    <w:snapToGrid w:val="0"/>
                    <w:jc w:val="center"/>
                    <w:rPr>
                      <w:snapToGrid w:val="0"/>
                      <w:kern w:val="0"/>
                    </w:rPr>
                  </w:pPr>
                  <w:r>
                    <w:rPr>
                      <w:rFonts w:hint="eastAsia"/>
                      <w:snapToGrid w:val="0"/>
                      <w:kern w:val="0"/>
                    </w:rPr>
                    <w:t>1800</w:t>
                  </w:r>
                </w:p>
              </w:tc>
              <w:tc>
                <w:tcPr>
                  <w:tcW w:w="3215" w:type="dxa"/>
                  <w:vAlign w:val="center"/>
                </w:tcPr>
                <w:p>
                  <w:pPr>
                    <w:snapToGrid w:val="0"/>
                    <w:jc w:val="center"/>
                    <w:rPr>
                      <w:snapToGrid w:val="0"/>
                      <w:kern w:val="0"/>
                    </w:rPr>
                  </w:pPr>
                  <w:r>
                    <w:rPr>
                      <w:rFonts w:hint="eastAsia"/>
                      <w:snapToGrid w:val="0"/>
                      <w:kern w:val="0"/>
                    </w:rPr>
                    <w:t>食堂废水经隔油池处理后，同其他生活污水一同汇入化粪池处理后，排入集聚区污水处理厂处理，综合利用不外排</w:t>
                  </w:r>
                </w:p>
              </w:tc>
            </w:tr>
          </w:tbl>
          <w:p>
            <w:pPr>
              <w:adjustRightInd w:val="0"/>
              <w:snapToGrid w:val="0"/>
              <w:spacing w:line="360" w:lineRule="auto"/>
              <w:jc w:val="center"/>
              <w:rPr>
                <w:b/>
                <w:snapToGrid w:val="0"/>
                <w:kern w:val="0"/>
                <w:sz w:val="24"/>
              </w:rPr>
            </w:pPr>
            <w:r>
              <w:drawing>
                <wp:inline distT="0" distB="0" distL="114300" distR="114300">
                  <wp:extent cx="3743325" cy="4623435"/>
                  <wp:effectExtent l="0" t="0" r="9525" b="5715"/>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4"/>
                          <a:stretch>
                            <a:fillRect/>
                          </a:stretch>
                        </pic:blipFill>
                        <pic:spPr>
                          <a:xfrm>
                            <a:off x="0" y="0"/>
                            <a:ext cx="3743325" cy="4623435"/>
                          </a:xfrm>
                          <a:prstGeom prst="rect">
                            <a:avLst/>
                          </a:prstGeom>
                          <a:noFill/>
                          <a:ln w="9525">
                            <a:noFill/>
                          </a:ln>
                        </pic:spPr>
                      </pic:pic>
                    </a:graphicData>
                  </a:graphic>
                </wp:inline>
              </w:drawing>
            </w:r>
          </w:p>
          <w:p>
            <w:pPr>
              <w:adjustRightInd w:val="0"/>
              <w:snapToGrid w:val="0"/>
              <w:spacing w:line="360" w:lineRule="auto"/>
              <w:ind w:firstLine="482" w:firstLineChars="200"/>
              <w:jc w:val="center"/>
              <w:rPr>
                <w:rFonts w:hint="eastAsia" w:eastAsia="宋体"/>
                <w:b/>
                <w:snapToGrid w:val="0"/>
                <w:color w:val="auto"/>
                <w:kern w:val="0"/>
                <w:sz w:val="24"/>
                <w:u w:val="single"/>
                <w:lang w:val="en-US" w:eastAsia="zh-CN"/>
              </w:rPr>
            </w:pPr>
            <w:r>
              <w:rPr>
                <w:rFonts w:hint="eastAsia"/>
                <w:b/>
                <w:snapToGrid w:val="0"/>
                <w:color w:val="auto"/>
                <w:kern w:val="0"/>
                <w:sz w:val="24"/>
                <w:u w:val="single"/>
              </w:rPr>
              <w:t>图4    本项目水平衡图</w:t>
            </w:r>
            <w:r>
              <w:rPr>
                <w:rFonts w:hint="eastAsia"/>
                <w:b/>
                <w:snapToGrid w:val="0"/>
                <w:color w:val="auto"/>
                <w:kern w:val="0"/>
                <w:sz w:val="24"/>
                <w:u w:val="single"/>
                <w:lang w:eastAsia="zh-CN"/>
              </w:rPr>
              <w:t>（</w:t>
            </w:r>
            <w:r>
              <w:rPr>
                <w:rFonts w:hint="eastAsia"/>
                <w:b/>
                <w:snapToGrid w:val="0"/>
                <w:color w:val="auto"/>
                <w:kern w:val="0"/>
                <w:sz w:val="24"/>
                <w:u w:val="single"/>
              </w:rPr>
              <w:t>单位：m³/d</w:t>
            </w:r>
            <w:r>
              <w:rPr>
                <w:rFonts w:hint="eastAsia"/>
                <w:b/>
                <w:snapToGrid w:val="0"/>
                <w:color w:val="auto"/>
                <w:kern w:val="0"/>
                <w:sz w:val="24"/>
                <w:u w:val="single"/>
                <w:lang w:eastAsia="zh-CN"/>
              </w:rPr>
              <w:t>）</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2.3初期雨水</w:t>
            </w:r>
          </w:p>
          <w:p>
            <w:pPr>
              <w:pStyle w:val="52"/>
              <w:spacing w:line="360" w:lineRule="auto"/>
              <w:ind w:firstLine="480"/>
              <w:rPr>
                <w:color w:val="auto"/>
              </w:rPr>
            </w:pPr>
            <w:r>
              <w:rPr>
                <w:rFonts w:hint="eastAsia"/>
                <w:color w:val="auto"/>
              </w:rPr>
              <w:t>本项目料库、厂房均为密闭厂房。但是车辆进出库房、在厂区转运过程中，可能有物料散落。为防止雨季初期雨水直接排出，对该区域地表水产生影响，评价要求建议一座初期雨水收集池。</w:t>
            </w:r>
          </w:p>
          <w:p>
            <w:pPr>
              <w:pStyle w:val="52"/>
              <w:spacing w:line="360" w:lineRule="auto"/>
              <w:ind w:firstLine="480"/>
              <w:rPr>
                <w:color w:val="auto"/>
              </w:rPr>
            </w:pPr>
            <w:r>
              <w:rPr>
                <w:color w:val="auto"/>
              </w:rPr>
              <w:t>初期雨水按下式计算：</w:t>
            </w:r>
          </w:p>
          <w:p>
            <w:pPr>
              <w:spacing w:line="360" w:lineRule="auto"/>
              <w:ind w:firstLine="480" w:firstLineChars="200"/>
              <w:jc w:val="center"/>
              <w:rPr>
                <w:sz w:val="24"/>
              </w:rPr>
            </w:pPr>
            <w:r>
              <w:rPr>
                <w:sz w:val="24"/>
              </w:rPr>
              <w:object>
                <v:shape id="_x0000_i1029" o:spt="75" type="#_x0000_t75" style="height:19.1pt;width:64.3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p>
          <w:p>
            <w:pPr>
              <w:pStyle w:val="52"/>
              <w:spacing w:line="360" w:lineRule="auto"/>
              <w:ind w:firstLine="480"/>
              <w:rPr>
                <w:color w:val="auto"/>
              </w:rPr>
            </w:pPr>
            <w:r>
              <w:rPr>
                <w:rFonts w:hint="eastAsia"/>
                <w:color w:val="auto"/>
              </w:rPr>
              <w:t>本项目所在地属于平顶山市，根据平顶山市城市规划设计院采用湿度饱和差法：</w:t>
            </w:r>
          </w:p>
          <w:p>
            <w:pPr>
              <w:spacing w:line="360" w:lineRule="auto"/>
              <w:ind w:firstLine="480" w:firstLineChars="200"/>
              <w:jc w:val="center"/>
              <w:rPr>
                <w:sz w:val="24"/>
              </w:rPr>
            </w:pPr>
            <m:oMathPara>
              <m:oMath>
                <m:r>
                  <m:rPr>
                    <m:sty m:val="p"/>
                  </m:rPr>
                  <w:rPr>
                    <w:rFonts w:ascii="Cambria Math"/>
                    <w:sz w:val="24"/>
                  </w:rPr>
                  <m:t>q=</m:t>
                </m:r>
                <m:f>
                  <m:fPr>
                    <m:ctrlPr>
                      <w:rPr>
                        <w:rFonts w:ascii="Cambria Math" w:hAnsi="Cambria Math"/>
                        <w:sz w:val="24"/>
                      </w:rPr>
                    </m:ctrlPr>
                  </m:fPr>
                  <m:num>
                    <m:r>
                      <m:rPr>
                        <m:sty m:val="p"/>
                      </m:rPr>
                      <w:rPr>
                        <w:rFonts w:ascii="Cambria Math"/>
                        <w:sz w:val="24"/>
                      </w:rPr>
                      <m:t>883.8</m:t>
                    </m:r>
                    <m:r>
                      <m:rPr>
                        <m:sty m:val="p"/>
                      </m:rPr>
                      <w:rPr>
                        <w:rFonts w:hAnsi="Cambria Math"/>
                        <w:sz w:val="24"/>
                      </w:rPr>
                      <m:t>（</m:t>
                    </m:r>
                    <m:r>
                      <m:rPr>
                        <m:sty m:val="p"/>
                      </m:rPr>
                      <w:rPr>
                        <w:rFonts w:ascii="Cambria Math"/>
                        <w:sz w:val="24"/>
                      </w:rPr>
                      <m:t>1+0.837lgP</m:t>
                    </m:r>
                    <m:r>
                      <m:rPr>
                        <m:sty m:val="p"/>
                      </m:rPr>
                      <w:rPr>
                        <w:rFonts w:hAnsi="Cambria Math"/>
                        <w:sz w:val="24"/>
                      </w:rPr>
                      <m:t>）</m:t>
                    </m:r>
                    <m:ctrlPr>
                      <w:rPr>
                        <w:rFonts w:ascii="Cambria Math" w:hAnsi="Cambria Math"/>
                        <w:sz w:val="24"/>
                      </w:rPr>
                    </m:ctrlPr>
                  </m:num>
                  <m:den>
                    <m:sSup>
                      <m:sSupPr>
                        <m:ctrlPr>
                          <w:rPr>
                            <w:rFonts w:ascii="Cambria Math" w:hAnsi="Cambria Math"/>
                            <w:sz w:val="24"/>
                          </w:rPr>
                        </m:ctrlPr>
                      </m:sSupPr>
                      <m:e>
                        <m:r>
                          <m:rPr>
                            <m:sty m:val="p"/>
                          </m:rPr>
                          <w:rPr>
                            <w:rFonts w:ascii="Cambria Math"/>
                            <w:sz w:val="24"/>
                          </w:rPr>
                          <m:t>t</m:t>
                        </m:r>
                        <m:ctrlPr>
                          <w:rPr>
                            <w:rFonts w:ascii="Cambria Math" w:hAnsi="Cambria Math"/>
                            <w:sz w:val="24"/>
                          </w:rPr>
                        </m:ctrlPr>
                      </m:e>
                      <m:sup>
                        <m:r>
                          <m:rPr>
                            <m:sty m:val="p"/>
                          </m:rPr>
                          <w:rPr>
                            <w:rFonts w:ascii="Cambria Math"/>
                            <w:sz w:val="24"/>
                          </w:rPr>
                          <m:t>0.57</m:t>
                        </m:r>
                        <m:ctrlPr>
                          <w:rPr>
                            <w:rFonts w:ascii="Cambria Math" w:hAnsi="Cambria Math"/>
                            <w:sz w:val="24"/>
                          </w:rPr>
                        </m:ctrlPr>
                      </m:sup>
                    </m:sSup>
                    <m:ctrlPr>
                      <w:rPr>
                        <w:rFonts w:ascii="Cambria Math" w:hAnsi="Cambria Math"/>
                        <w:sz w:val="24"/>
                      </w:rPr>
                    </m:ctrlPr>
                  </m:den>
                </m:f>
              </m:oMath>
            </m:oMathPara>
          </w:p>
          <w:p>
            <w:pPr>
              <w:spacing w:line="360" w:lineRule="auto"/>
              <w:ind w:firstLine="480" w:firstLineChars="200"/>
              <w:rPr>
                <w:sz w:val="24"/>
              </w:rPr>
            </w:pPr>
            <w:r>
              <w:rPr>
                <w:rFonts w:hint="eastAsia"/>
                <w:sz w:val="24"/>
              </w:rPr>
              <w:t xml:space="preserve">    </w:t>
            </w:r>
            <w:r>
              <w:rPr>
                <w:sz w:val="24"/>
              </w:rPr>
              <w:t>式中：</w:t>
            </w:r>
          </w:p>
          <w:p>
            <w:pPr>
              <w:spacing w:line="360" w:lineRule="auto"/>
              <w:ind w:firstLine="480" w:firstLineChars="200"/>
              <w:rPr>
                <w:sz w:val="24"/>
              </w:rPr>
            </w:pPr>
            <w:r>
              <w:rPr>
                <w:rFonts w:hint="eastAsia"/>
                <w:sz w:val="24"/>
              </w:rPr>
              <w:t xml:space="preserve">    </w:t>
            </w:r>
            <w:r>
              <w:rPr>
                <w:sz w:val="24"/>
              </w:rPr>
              <w:t>V</w:t>
            </w:r>
            <w:r>
              <w:rPr>
                <w:sz w:val="24"/>
                <w:vertAlign w:val="subscript"/>
              </w:rPr>
              <w:t>降水</w:t>
            </w:r>
            <w:r>
              <w:rPr>
                <w:sz w:val="24"/>
              </w:rPr>
              <w:t>——</w:t>
            </w:r>
            <w:r>
              <w:rPr>
                <w:rFonts w:hint="eastAsia"/>
                <w:sz w:val="24"/>
              </w:rPr>
              <w:t>初期雨水量</w:t>
            </w:r>
            <w:r>
              <w:rPr>
                <w:sz w:val="24"/>
              </w:rPr>
              <w:t>，m</w:t>
            </w:r>
            <w:r>
              <w:rPr>
                <w:sz w:val="24"/>
                <w:vertAlign w:val="superscript"/>
              </w:rPr>
              <w:t>3</w:t>
            </w:r>
            <w:r>
              <w:rPr>
                <w:sz w:val="24"/>
              </w:rPr>
              <w:t>；</w:t>
            </w:r>
          </w:p>
          <w:p>
            <w:pPr>
              <w:spacing w:line="360" w:lineRule="auto"/>
              <w:ind w:firstLine="480" w:firstLineChars="200"/>
              <w:rPr>
                <w:sz w:val="24"/>
              </w:rPr>
            </w:pPr>
            <w:r>
              <w:rPr>
                <w:rFonts w:hint="eastAsia"/>
                <w:sz w:val="24"/>
              </w:rPr>
              <w:t xml:space="preserve">    </w:t>
            </w:r>
            <w:r>
              <w:rPr>
                <w:sz w:val="24"/>
              </w:rPr>
              <w:t>q——最大暴雨强度，取重现期</w:t>
            </w:r>
            <w:r>
              <w:rPr>
                <w:rFonts w:hint="eastAsia"/>
                <w:sz w:val="24"/>
              </w:rPr>
              <w:t>（P）2</w:t>
            </w:r>
            <w:r>
              <w:rPr>
                <w:sz w:val="24"/>
              </w:rPr>
              <w:t>年，降雨历时</w:t>
            </w:r>
            <w:r>
              <w:rPr>
                <w:rFonts w:hint="eastAsia"/>
                <w:sz w:val="24"/>
              </w:rPr>
              <w:t>（t）30</w:t>
            </w:r>
            <w:r>
              <w:rPr>
                <w:sz w:val="24"/>
              </w:rPr>
              <w:t>分钟，最大降雨强度为</w:t>
            </w:r>
            <w:r>
              <w:rPr>
                <w:rFonts w:hint="eastAsia"/>
                <w:sz w:val="24"/>
              </w:rPr>
              <w:t>159.22</w:t>
            </w:r>
            <w:r>
              <w:rPr>
                <w:sz w:val="24"/>
              </w:rPr>
              <w:t>L/s·</w:t>
            </w:r>
            <w:r>
              <w:rPr>
                <w:rFonts w:hint="eastAsia"/>
                <w:sz w:val="24"/>
              </w:rPr>
              <w:t>ha</w:t>
            </w:r>
            <w:r>
              <w:rPr>
                <w:sz w:val="24"/>
              </w:rPr>
              <w:t>；</w:t>
            </w:r>
          </w:p>
          <w:p>
            <w:pPr>
              <w:spacing w:line="360" w:lineRule="auto"/>
              <w:ind w:firstLine="480" w:firstLineChars="200"/>
              <w:rPr>
                <w:sz w:val="24"/>
              </w:rPr>
            </w:pPr>
            <w:r>
              <w:rPr>
                <w:rFonts w:hint="eastAsia"/>
                <w:sz w:val="24"/>
              </w:rPr>
              <w:t xml:space="preserve">    </w:t>
            </w:r>
            <w:r>
              <w:rPr>
                <w:sz w:val="24"/>
              </w:rPr>
              <w:t>s——雨水汇水面积，取</w:t>
            </w:r>
            <w:r>
              <w:rPr>
                <w:rFonts w:hint="eastAsia"/>
                <w:sz w:val="24"/>
              </w:rPr>
              <w:t>20000</w:t>
            </w:r>
            <w:r>
              <w:rPr>
                <w:sz w:val="24"/>
              </w:rPr>
              <w:t>m</w:t>
            </w:r>
            <w:r>
              <w:rPr>
                <w:sz w:val="24"/>
                <w:vertAlign w:val="superscript"/>
              </w:rPr>
              <w:t>2</w:t>
            </w:r>
            <w:r>
              <w:rPr>
                <w:sz w:val="24"/>
              </w:rPr>
              <w:t>；</w:t>
            </w:r>
          </w:p>
          <w:p>
            <w:pPr>
              <w:spacing w:line="360" w:lineRule="auto"/>
              <w:ind w:firstLine="480" w:firstLineChars="200"/>
              <w:rPr>
                <w:sz w:val="24"/>
              </w:rPr>
            </w:pPr>
            <w:r>
              <w:rPr>
                <w:rFonts w:hint="eastAsia"/>
                <w:sz w:val="24"/>
              </w:rPr>
              <w:t xml:space="preserve">    </w:t>
            </w:r>
            <w:r>
              <w:rPr>
                <w:sz w:val="24"/>
              </w:rPr>
              <w:t>t——初期雨水收集时间，取</w:t>
            </w:r>
            <w:r>
              <w:rPr>
                <w:rFonts w:hint="eastAsia"/>
                <w:sz w:val="24"/>
              </w:rPr>
              <w:t>10</w:t>
            </w:r>
            <w:r>
              <w:rPr>
                <w:sz w:val="24"/>
              </w:rPr>
              <w:t>min；</w:t>
            </w:r>
          </w:p>
          <w:p>
            <w:pPr>
              <w:spacing w:line="360" w:lineRule="auto"/>
              <w:ind w:firstLine="480" w:firstLineChars="200"/>
              <w:rPr>
                <w:sz w:val="24"/>
              </w:rPr>
            </w:pPr>
            <w:r>
              <w:rPr>
                <w:rFonts w:hint="eastAsia"/>
                <w:sz w:val="24"/>
              </w:rPr>
              <w:t xml:space="preserve">    </w:t>
            </w:r>
            <w:r>
              <w:rPr>
                <w:sz w:val="24"/>
              </w:rPr>
              <w:t>ψ——径流系数，取0.9。</w:t>
            </w:r>
          </w:p>
          <w:p>
            <w:pPr>
              <w:pStyle w:val="52"/>
              <w:spacing w:line="360" w:lineRule="auto"/>
              <w:ind w:firstLine="480"/>
              <w:rPr>
                <w:color w:val="auto"/>
              </w:rPr>
            </w:pPr>
            <w:r>
              <w:rPr>
                <w:color w:val="auto"/>
              </w:rPr>
              <w:t>根据计算，本项目初期雨水总量为</w:t>
            </w:r>
            <w:r>
              <w:rPr>
                <w:rFonts w:hint="eastAsia"/>
                <w:color w:val="auto"/>
              </w:rPr>
              <w:t>172</w:t>
            </w:r>
            <w:r>
              <w:rPr>
                <w:color w:val="auto"/>
              </w:rPr>
              <w:t>m</w:t>
            </w:r>
            <w:r>
              <w:rPr>
                <w:color w:val="auto"/>
                <w:vertAlign w:val="superscript"/>
              </w:rPr>
              <w:t>3</w:t>
            </w:r>
            <w:r>
              <w:rPr>
                <w:color w:val="auto"/>
              </w:rPr>
              <w:t>。</w:t>
            </w:r>
          </w:p>
          <w:p>
            <w:pPr>
              <w:spacing w:line="360" w:lineRule="auto"/>
              <w:ind w:firstLine="482" w:firstLineChars="200"/>
              <w:rPr>
                <w:b/>
                <w:bCs/>
                <w:snapToGrid w:val="0"/>
                <w:kern w:val="0"/>
                <w:sz w:val="24"/>
                <w:u w:val="single"/>
              </w:rPr>
            </w:pPr>
            <w:r>
              <w:rPr>
                <w:rFonts w:hint="eastAsia"/>
                <w:b/>
                <w:bCs/>
                <w:snapToGrid w:val="0"/>
                <w:kern w:val="0"/>
                <w:sz w:val="24"/>
                <w:u w:val="single"/>
              </w:rPr>
              <w:t>在厂区内沿道路两侧、厂房外侧分别设置导流槽，初期雨水通过导流槽汇入初期雨水收集池。设置一座容积为1</w:t>
            </w:r>
            <w:r>
              <w:rPr>
                <w:rFonts w:hint="eastAsia"/>
                <w:b/>
                <w:bCs/>
                <w:snapToGrid w:val="0"/>
                <w:kern w:val="0"/>
                <w:sz w:val="24"/>
                <w:u w:val="single"/>
                <w:lang w:val="en-US" w:eastAsia="zh-CN"/>
              </w:rPr>
              <w:t>8</w:t>
            </w:r>
            <w:r>
              <w:rPr>
                <w:rFonts w:hint="eastAsia"/>
                <w:b/>
                <w:bCs/>
                <w:snapToGrid w:val="0"/>
                <w:kern w:val="0"/>
                <w:sz w:val="24"/>
                <w:u w:val="single"/>
              </w:rPr>
              <w:t>0m</w:t>
            </w:r>
            <w:r>
              <w:rPr>
                <w:rFonts w:hint="eastAsia"/>
                <w:b/>
                <w:bCs/>
                <w:snapToGrid w:val="0"/>
                <w:kern w:val="0"/>
                <w:sz w:val="24"/>
                <w:u w:val="single"/>
                <w:vertAlign w:val="superscript"/>
              </w:rPr>
              <w:t>3</w:t>
            </w:r>
            <w:r>
              <w:rPr>
                <w:rFonts w:hint="eastAsia"/>
                <w:b/>
                <w:bCs/>
                <w:snapToGrid w:val="0"/>
                <w:kern w:val="0"/>
                <w:sz w:val="24"/>
                <w:u w:val="single"/>
              </w:rPr>
              <w:t>的初期雨水收集池，位于厂区的东南角。池壁、池底基础防渗。初期雨水经收集沉淀后用于厂区内洒水降尘。</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 xml:space="preserve">3 </w:t>
            </w:r>
            <w:r>
              <w:rPr>
                <w:b/>
                <w:snapToGrid w:val="0"/>
                <w:kern w:val="0"/>
                <w:sz w:val="24"/>
              </w:rPr>
              <w:t>噪声</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3.1 噪声源强产生情况</w:t>
            </w:r>
          </w:p>
          <w:p>
            <w:pPr>
              <w:adjustRightInd w:val="0"/>
              <w:snapToGrid w:val="0"/>
              <w:spacing w:line="360" w:lineRule="auto"/>
              <w:ind w:firstLine="480" w:firstLineChars="200"/>
              <w:rPr>
                <w:rFonts w:hint="eastAsia"/>
                <w:kern w:val="0"/>
                <w:sz w:val="24"/>
              </w:rPr>
            </w:pPr>
            <w:r>
              <w:rPr>
                <w:rFonts w:hint="eastAsia"/>
                <w:kern w:val="0"/>
                <w:sz w:val="24"/>
              </w:rPr>
              <w:t>本项目运营期噪声源主要是螺旋洗矿机、</w:t>
            </w:r>
            <w:r>
              <w:rPr>
                <w:rFonts w:hint="eastAsia"/>
                <w:kern w:val="0"/>
                <w:sz w:val="24"/>
                <w:lang w:eastAsia="zh-CN"/>
              </w:rPr>
              <w:t>原矿石粉碎机</w:t>
            </w:r>
            <w:r>
              <w:rPr>
                <w:rFonts w:hint="eastAsia"/>
                <w:kern w:val="0"/>
                <w:sz w:val="24"/>
              </w:rPr>
              <w:t>、球磨机、分筛机、电磁机、脱水机、铲车等设备运行产生的噪声及风机运行时产生的空气动力性噪声，其声级值约为70~85dB（A）。各设备噪声源强详见表4-1</w:t>
            </w:r>
            <w:r>
              <w:rPr>
                <w:rFonts w:hint="eastAsia"/>
                <w:kern w:val="0"/>
                <w:sz w:val="24"/>
                <w:lang w:val="en-US" w:eastAsia="zh-CN"/>
              </w:rPr>
              <w:t>5</w:t>
            </w:r>
            <w:r>
              <w:rPr>
                <w:rFonts w:hint="eastAsia"/>
                <w:kern w:val="0"/>
                <w:sz w:val="24"/>
              </w:rPr>
              <w:t>。</w:t>
            </w:r>
          </w:p>
          <w:p>
            <w:pPr>
              <w:adjustRightInd w:val="0"/>
              <w:snapToGrid w:val="0"/>
              <w:spacing w:line="360" w:lineRule="auto"/>
              <w:ind w:firstLine="480" w:firstLineChars="200"/>
              <w:rPr>
                <w:kern w:val="0"/>
                <w:sz w:val="24"/>
              </w:rPr>
            </w:pPr>
            <w:r>
              <w:rPr>
                <w:rFonts w:hint="eastAsia"/>
                <w:kern w:val="0"/>
                <w:sz w:val="24"/>
              </w:rPr>
              <w:t xml:space="preserve"> </w:t>
            </w:r>
          </w:p>
          <w:p>
            <w:pPr>
              <w:pStyle w:val="44"/>
              <w:spacing w:line="360" w:lineRule="auto"/>
              <w:rPr>
                <w:rFonts w:eastAsia="宋体"/>
                <w:sz w:val="24"/>
                <w:szCs w:val="24"/>
              </w:rPr>
            </w:pPr>
            <w:r>
              <w:rPr>
                <w:rFonts w:hint="eastAsia" w:eastAsia="宋体"/>
                <w:sz w:val="24"/>
                <w:szCs w:val="24"/>
              </w:rPr>
              <w:t>表4-1</w:t>
            </w:r>
            <w:r>
              <w:rPr>
                <w:rFonts w:hint="eastAsia" w:eastAsia="宋体"/>
                <w:sz w:val="24"/>
                <w:szCs w:val="24"/>
                <w:lang w:val="en-US" w:eastAsia="zh-CN"/>
              </w:rPr>
              <w:t>5</w:t>
            </w:r>
            <w:r>
              <w:rPr>
                <w:rFonts w:hint="eastAsia" w:eastAsia="宋体"/>
                <w:sz w:val="24"/>
                <w:szCs w:val="24"/>
              </w:rPr>
              <w:t xml:space="preserve">    项目各声源的源强及治理后噪声级    单位：dB（A）</w:t>
            </w:r>
          </w:p>
          <w:tbl>
            <w:tblPr>
              <w:tblStyle w:val="26"/>
              <w:tblW w:w="793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83"/>
              <w:gridCol w:w="1562"/>
              <w:gridCol w:w="1100"/>
              <w:gridCol w:w="1488"/>
              <w:gridCol w:w="181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83" w:type="dxa"/>
                  <w:vAlign w:val="center"/>
                </w:tcPr>
                <w:p>
                  <w:pPr>
                    <w:adjustRightInd w:val="0"/>
                    <w:snapToGrid w:val="0"/>
                    <w:jc w:val="center"/>
                    <w:rPr>
                      <w:b/>
                      <w:kern w:val="0"/>
                      <w:szCs w:val="21"/>
                    </w:rPr>
                  </w:pPr>
                  <w:r>
                    <w:rPr>
                      <w:rFonts w:hint="eastAsia"/>
                      <w:b/>
                      <w:kern w:val="0"/>
                      <w:szCs w:val="21"/>
                    </w:rPr>
                    <w:t>序号</w:t>
                  </w:r>
                </w:p>
              </w:tc>
              <w:tc>
                <w:tcPr>
                  <w:tcW w:w="1562" w:type="dxa"/>
                  <w:vAlign w:val="center"/>
                </w:tcPr>
                <w:p>
                  <w:pPr>
                    <w:adjustRightInd w:val="0"/>
                    <w:snapToGrid w:val="0"/>
                    <w:jc w:val="center"/>
                    <w:rPr>
                      <w:b/>
                      <w:kern w:val="0"/>
                      <w:szCs w:val="21"/>
                    </w:rPr>
                  </w:pPr>
                  <w:r>
                    <w:rPr>
                      <w:rFonts w:hint="eastAsia"/>
                      <w:b/>
                      <w:kern w:val="0"/>
                      <w:szCs w:val="21"/>
                    </w:rPr>
                    <w:t>设备名称</w:t>
                  </w:r>
                </w:p>
              </w:tc>
              <w:tc>
                <w:tcPr>
                  <w:tcW w:w="1100" w:type="dxa"/>
                  <w:vAlign w:val="center"/>
                </w:tcPr>
                <w:p>
                  <w:pPr>
                    <w:adjustRightInd w:val="0"/>
                    <w:snapToGrid w:val="0"/>
                    <w:jc w:val="center"/>
                    <w:rPr>
                      <w:b/>
                      <w:kern w:val="0"/>
                      <w:szCs w:val="21"/>
                    </w:rPr>
                  </w:pPr>
                  <w:r>
                    <w:rPr>
                      <w:rFonts w:hint="eastAsia"/>
                      <w:b/>
                      <w:kern w:val="0"/>
                      <w:szCs w:val="21"/>
                    </w:rPr>
                    <w:t>数量（台）</w:t>
                  </w:r>
                </w:p>
              </w:tc>
              <w:tc>
                <w:tcPr>
                  <w:tcW w:w="1488" w:type="dxa"/>
                  <w:vAlign w:val="center"/>
                </w:tcPr>
                <w:p>
                  <w:pPr>
                    <w:adjustRightInd w:val="0"/>
                    <w:snapToGrid w:val="0"/>
                    <w:jc w:val="center"/>
                    <w:rPr>
                      <w:b/>
                      <w:kern w:val="0"/>
                      <w:szCs w:val="21"/>
                    </w:rPr>
                  </w:pPr>
                  <w:r>
                    <w:rPr>
                      <w:rFonts w:hint="eastAsia"/>
                      <w:b/>
                      <w:kern w:val="0"/>
                      <w:szCs w:val="21"/>
                    </w:rPr>
                    <w:t>源强（dB（A））</w:t>
                  </w:r>
                </w:p>
              </w:tc>
              <w:tc>
                <w:tcPr>
                  <w:tcW w:w="1812" w:type="dxa"/>
                  <w:vAlign w:val="center"/>
                </w:tcPr>
                <w:p>
                  <w:pPr>
                    <w:adjustRightInd w:val="0"/>
                    <w:snapToGrid w:val="0"/>
                    <w:jc w:val="center"/>
                    <w:rPr>
                      <w:b/>
                      <w:kern w:val="0"/>
                      <w:szCs w:val="21"/>
                    </w:rPr>
                  </w:pPr>
                  <w:r>
                    <w:rPr>
                      <w:rFonts w:hint="eastAsia"/>
                      <w:b/>
                      <w:kern w:val="0"/>
                      <w:szCs w:val="21"/>
                    </w:rPr>
                    <w:t>噪声防治措施</w:t>
                  </w:r>
                </w:p>
              </w:tc>
              <w:tc>
                <w:tcPr>
                  <w:tcW w:w="1291" w:type="dxa"/>
                  <w:vAlign w:val="center"/>
                </w:tcPr>
                <w:p>
                  <w:pPr>
                    <w:adjustRightInd w:val="0"/>
                    <w:snapToGrid w:val="0"/>
                    <w:jc w:val="center"/>
                    <w:rPr>
                      <w:b/>
                      <w:kern w:val="0"/>
                      <w:szCs w:val="21"/>
                    </w:rPr>
                  </w:pPr>
                  <w:r>
                    <w:rPr>
                      <w:rFonts w:hint="eastAsia"/>
                      <w:b/>
                      <w:kern w:val="0"/>
                      <w:szCs w:val="21"/>
                    </w:rPr>
                    <w:t>衰减后源强（dB（A））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37" w:hRule="atLeast"/>
              </w:trPr>
              <w:tc>
                <w:tcPr>
                  <w:tcW w:w="683" w:type="dxa"/>
                  <w:vAlign w:val="center"/>
                </w:tcPr>
                <w:p>
                  <w:pPr>
                    <w:adjustRightInd w:val="0"/>
                    <w:snapToGrid w:val="0"/>
                    <w:jc w:val="center"/>
                    <w:rPr>
                      <w:kern w:val="0"/>
                      <w:szCs w:val="21"/>
                    </w:rPr>
                  </w:pPr>
                  <w:r>
                    <w:rPr>
                      <w:rFonts w:hint="eastAsia"/>
                      <w:kern w:val="0"/>
                      <w:szCs w:val="21"/>
                    </w:rPr>
                    <w:t>1</w:t>
                  </w:r>
                </w:p>
              </w:tc>
              <w:tc>
                <w:tcPr>
                  <w:tcW w:w="1562" w:type="dxa"/>
                  <w:vAlign w:val="center"/>
                </w:tcPr>
                <w:p>
                  <w:pPr>
                    <w:adjustRightInd w:val="0"/>
                    <w:snapToGrid w:val="0"/>
                    <w:jc w:val="center"/>
                    <w:rPr>
                      <w:kern w:val="0"/>
                      <w:szCs w:val="21"/>
                    </w:rPr>
                  </w:pPr>
                  <w:r>
                    <w:rPr>
                      <w:rFonts w:hint="eastAsia"/>
                      <w:kern w:val="0"/>
                      <w:szCs w:val="21"/>
                    </w:rPr>
                    <w:t>螺旋洗矿机</w:t>
                  </w:r>
                </w:p>
              </w:tc>
              <w:tc>
                <w:tcPr>
                  <w:tcW w:w="1100" w:type="dxa"/>
                  <w:vAlign w:val="center"/>
                </w:tcPr>
                <w:p>
                  <w:pPr>
                    <w:adjustRightInd w:val="0"/>
                    <w:snapToGrid w:val="0"/>
                    <w:jc w:val="center"/>
                    <w:rPr>
                      <w:kern w:val="0"/>
                      <w:szCs w:val="21"/>
                    </w:rPr>
                  </w:pPr>
                  <w:r>
                    <w:rPr>
                      <w:rFonts w:hint="eastAsia"/>
                      <w:kern w:val="0"/>
                      <w:szCs w:val="21"/>
                    </w:rPr>
                    <w:t>2</w:t>
                  </w:r>
                </w:p>
              </w:tc>
              <w:tc>
                <w:tcPr>
                  <w:tcW w:w="1488" w:type="dxa"/>
                  <w:vAlign w:val="center"/>
                </w:tcPr>
                <w:p>
                  <w:pPr>
                    <w:adjustRightInd w:val="0"/>
                    <w:snapToGrid w:val="0"/>
                    <w:jc w:val="center"/>
                    <w:rPr>
                      <w:kern w:val="0"/>
                      <w:szCs w:val="21"/>
                    </w:rPr>
                  </w:pPr>
                  <w:r>
                    <w:rPr>
                      <w:rFonts w:hint="eastAsia"/>
                      <w:kern w:val="0"/>
                      <w:szCs w:val="21"/>
                    </w:rPr>
                    <w:t>80</w:t>
                  </w:r>
                </w:p>
              </w:tc>
              <w:tc>
                <w:tcPr>
                  <w:tcW w:w="1812" w:type="dxa"/>
                  <w:vMerge w:val="restart"/>
                  <w:vAlign w:val="center"/>
                </w:tcPr>
                <w:p>
                  <w:pPr>
                    <w:adjustRightInd w:val="0"/>
                    <w:snapToGrid w:val="0"/>
                    <w:jc w:val="center"/>
                    <w:rPr>
                      <w:kern w:val="0"/>
                      <w:szCs w:val="21"/>
                    </w:rPr>
                  </w:pPr>
                  <w:r>
                    <w:rPr>
                      <w:rFonts w:hint="eastAsia"/>
                      <w:kern w:val="0"/>
                      <w:szCs w:val="21"/>
                    </w:rPr>
                    <w:t>厂房内布置、减振基础、距离衰减</w:t>
                  </w:r>
                </w:p>
              </w:tc>
              <w:tc>
                <w:tcPr>
                  <w:tcW w:w="1291" w:type="dxa"/>
                  <w:vAlign w:val="center"/>
                </w:tcPr>
                <w:p>
                  <w:pPr>
                    <w:adjustRightInd w:val="0"/>
                    <w:snapToGrid w:val="0"/>
                    <w:jc w:val="center"/>
                    <w:rPr>
                      <w:kern w:val="0"/>
                      <w:szCs w:val="21"/>
                    </w:rPr>
                  </w:pPr>
                  <w:r>
                    <w:rPr>
                      <w:rFonts w:hint="eastAsia"/>
                      <w:kern w:val="0"/>
                      <w:szCs w:val="21"/>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9" w:hRule="atLeast"/>
              </w:trPr>
              <w:tc>
                <w:tcPr>
                  <w:tcW w:w="683" w:type="dxa"/>
                  <w:vAlign w:val="center"/>
                </w:tcPr>
                <w:p>
                  <w:pPr>
                    <w:adjustRightInd w:val="0"/>
                    <w:snapToGrid w:val="0"/>
                    <w:jc w:val="center"/>
                    <w:rPr>
                      <w:kern w:val="0"/>
                      <w:szCs w:val="21"/>
                    </w:rPr>
                  </w:pPr>
                  <w:r>
                    <w:rPr>
                      <w:rFonts w:hint="eastAsia"/>
                      <w:kern w:val="0"/>
                      <w:szCs w:val="21"/>
                    </w:rPr>
                    <w:t>2</w:t>
                  </w:r>
                </w:p>
              </w:tc>
              <w:tc>
                <w:tcPr>
                  <w:tcW w:w="1562" w:type="dxa"/>
                  <w:vAlign w:val="center"/>
                </w:tcPr>
                <w:p>
                  <w:pPr>
                    <w:adjustRightInd w:val="0"/>
                    <w:snapToGrid w:val="0"/>
                    <w:jc w:val="center"/>
                    <w:rPr>
                      <w:kern w:val="0"/>
                      <w:szCs w:val="21"/>
                    </w:rPr>
                  </w:pPr>
                  <w:r>
                    <w:rPr>
                      <w:rFonts w:hint="eastAsia"/>
                      <w:kern w:val="0"/>
                      <w:szCs w:val="21"/>
                    </w:rPr>
                    <w:t>分筛机</w:t>
                  </w:r>
                </w:p>
              </w:tc>
              <w:tc>
                <w:tcPr>
                  <w:tcW w:w="1100" w:type="dxa"/>
                  <w:vAlign w:val="center"/>
                </w:tcPr>
                <w:p>
                  <w:pPr>
                    <w:adjustRightInd w:val="0"/>
                    <w:snapToGrid w:val="0"/>
                    <w:jc w:val="center"/>
                    <w:rPr>
                      <w:kern w:val="0"/>
                      <w:szCs w:val="21"/>
                    </w:rPr>
                  </w:pPr>
                  <w:r>
                    <w:rPr>
                      <w:rFonts w:hint="eastAsia"/>
                      <w:kern w:val="0"/>
                      <w:szCs w:val="21"/>
                    </w:rPr>
                    <w:t>3</w:t>
                  </w:r>
                </w:p>
              </w:tc>
              <w:tc>
                <w:tcPr>
                  <w:tcW w:w="1488" w:type="dxa"/>
                  <w:vAlign w:val="center"/>
                </w:tcPr>
                <w:p>
                  <w:pPr>
                    <w:adjustRightInd w:val="0"/>
                    <w:snapToGrid w:val="0"/>
                    <w:jc w:val="center"/>
                    <w:rPr>
                      <w:kern w:val="0"/>
                      <w:szCs w:val="21"/>
                    </w:rPr>
                  </w:pPr>
                  <w:r>
                    <w:rPr>
                      <w:rFonts w:hint="eastAsia"/>
                      <w:kern w:val="0"/>
                      <w:szCs w:val="21"/>
                    </w:rPr>
                    <w:t>80</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3</w:t>
                  </w:r>
                </w:p>
              </w:tc>
              <w:tc>
                <w:tcPr>
                  <w:tcW w:w="1562" w:type="dxa"/>
                  <w:vAlign w:val="center"/>
                </w:tcPr>
                <w:p>
                  <w:pPr>
                    <w:adjustRightInd w:val="0"/>
                    <w:snapToGrid w:val="0"/>
                    <w:jc w:val="center"/>
                    <w:rPr>
                      <w:rFonts w:hint="eastAsia" w:eastAsia="宋体"/>
                      <w:kern w:val="0"/>
                      <w:szCs w:val="21"/>
                      <w:lang w:eastAsia="zh-CN"/>
                    </w:rPr>
                  </w:pPr>
                  <w:r>
                    <w:rPr>
                      <w:rFonts w:hint="eastAsia"/>
                      <w:kern w:val="0"/>
                      <w:szCs w:val="21"/>
                      <w:lang w:eastAsia="zh-CN"/>
                    </w:rPr>
                    <w:t>原矿石粉碎机</w:t>
                  </w:r>
                </w:p>
              </w:tc>
              <w:tc>
                <w:tcPr>
                  <w:tcW w:w="1100" w:type="dxa"/>
                  <w:vAlign w:val="center"/>
                </w:tcPr>
                <w:p>
                  <w:pPr>
                    <w:adjustRightInd w:val="0"/>
                    <w:snapToGrid w:val="0"/>
                    <w:jc w:val="center"/>
                    <w:rPr>
                      <w:kern w:val="0"/>
                      <w:szCs w:val="21"/>
                    </w:rPr>
                  </w:pPr>
                  <w:r>
                    <w:rPr>
                      <w:rFonts w:hint="eastAsia"/>
                      <w:kern w:val="0"/>
                      <w:szCs w:val="21"/>
                    </w:rPr>
                    <w:t>1</w:t>
                  </w:r>
                </w:p>
              </w:tc>
              <w:tc>
                <w:tcPr>
                  <w:tcW w:w="1488" w:type="dxa"/>
                  <w:vAlign w:val="center"/>
                </w:tcPr>
                <w:p>
                  <w:pPr>
                    <w:adjustRightInd w:val="0"/>
                    <w:snapToGrid w:val="0"/>
                    <w:jc w:val="center"/>
                    <w:rPr>
                      <w:kern w:val="0"/>
                      <w:szCs w:val="21"/>
                    </w:rPr>
                  </w:pPr>
                  <w:r>
                    <w:rPr>
                      <w:rFonts w:hint="eastAsia"/>
                      <w:kern w:val="0"/>
                      <w:szCs w:val="21"/>
                    </w:rPr>
                    <w:t>85</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4</w:t>
                  </w:r>
                </w:p>
              </w:tc>
              <w:tc>
                <w:tcPr>
                  <w:tcW w:w="1562" w:type="dxa"/>
                  <w:vAlign w:val="center"/>
                </w:tcPr>
                <w:p>
                  <w:pPr>
                    <w:adjustRightInd w:val="0"/>
                    <w:snapToGrid w:val="0"/>
                    <w:jc w:val="center"/>
                    <w:rPr>
                      <w:kern w:val="0"/>
                      <w:szCs w:val="21"/>
                    </w:rPr>
                  </w:pPr>
                  <w:r>
                    <w:rPr>
                      <w:rFonts w:hint="eastAsia"/>
                      <w:kern w:val="0"/>
                      <w:szCs w:val="21"/>
                    </w:rPr>
                    <w:t>水轮</w:t>
                  </w:r>
                </w:p>
              </w:tc>
              <w:tc>
                <w:tcPr>
                  <w:tcW w:w="1100" w:type="dxa"/>
                  <w:vAlign w:val="center"/>
                </w:tcPr>
                <w:p>
                  <w:pPr>
                    <w:adjustRightInd w:val="0"/>
                    <w:snapToGrid w:val="0"/>
                    <w:jc w:val="center"/>
                    <w:rPr>
                      <w:kern w:val="0"/>
                      <w:szCs w:val="21"/>
                    </w:rPr>
                  </w:pPr>
                  <w:r>
                    <w:rPr>
                      <w:rFonts w:hint="eastAsia"/>
                      <w:kern w:val="0"/>
                      <w:szCs w:val="21"/>
                    </w:rPr>
                    <w:t>1</w:t>
                  </w:r>
                </w:p>
              </w:tc>
              <w:tc>
                <w:tcPr>
                  <w:tcW w:w="1488" w:type="dxa"/>
                  <w:vAlign w:val="center"/>
                </w:tcPr>
                <w:p>
                  <w:pPr>
                    <w:adjustRightInd w:val="0"/>
                    <w:snapToGrid w:val="0"/>
                    <w:jc w:val="center"/>
                    <w:rPr>
                      <w:kern w:val="0"/>
                      <w:szCs w:val="21"/>
                    </w:rPr>
                  </w:pPr>
                  <w:r>
                    <w:rPr>
                      <w:rFonts w:hint="eastAsia"/>
                      <w:kern w:val="0"/>
                      <w:szCs w:val="21"/>
                    </w:rPr>
                    <w:t>70</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5</w:t>
                  </w:r>
                </w:p>
              </w:tc>
              <w:tc>
                <w:tcPr>
                  <w:tcW w:w="1562" w:type="dxa"/>
                  <w:vAlign w:val="center"/>
                </w:tcPr>
                <w:p>
                  <w:pPr>
                    <w:adjustRightInd w:val="0"/>
                    <w:snapToGrid w:val="0"/>
                    <w:jc w:val="center"/>
                    <w:rPr>
                      <w:kern w:val="0"/>
                      <w:szCs w:val="21"/>
                    </w:rPr>
                  </w:pPr>
                  <w:r>
                    <w:rPr>
                      <w:rFonts w:hint="eastAsia"/>
                      <w:kern w:val="0"/>
                      <w:szCs w:val="21"/>
                    </w:rPr>
                    <w:t>脱水筛</w:t>
                  </w:r>
                </w:p>
              </w:tc>
              <w:tc>
                <w:tcPr>
                  <w:tcW w:w="1100" w:type="dxa"/>
                  <w:vAlign w:val="center"/>
                </w:tcPr>
                <w:p>
                  <w:pPr>
                    <w:adjustRightInd w:val="0"/>
                    <w:snapToGrid w:val="0"/>
                    <w:jc w:val="center"/>
                    <w:rPr>
                      <w:kern w:val="0"/>
                      <w:szCs w:val="21"/>
                    </w:rPr>
                  </w:pPr>
                  <w:r>
                    <w:rPr>
                      <w:rFonts w:hint="eastAsia"/>
                      <w:kern w:val="0"/>
                      <w:szCs w:val="21"/>
                    </w:rPr>
                    <w:t>1</w:t>
                  </w:r>
                </w:p>
              </w:tc>
              <w:tc>
                <w:tcPr>
                  <w:tcW w:w="1488" w:type="dxa"/>
                  <w:vAlign w:val="center"/>
                </w:tcPr>
                <w:p>
                  <w:pPr>
                    <w:adjustRightInd w:val="0"/>
                    <w:snapToGrid w:val="0"/>
                    <w:jc w:val="center"/>
                    <w:rPr>
                      <w:kern w:val="0"/>
                      <w:szCs w:val="21"/>
                    </w:rPr>
                  </w:pPr>
                  <w:r>
                    <w:rPr>
                      <w:rFonts w:hint="eastAsia"/>
                      <w:kern w:val="0"/>
                      <w:szCs w:val="21"/>
                    </w:rPr>
                    <w:t>75</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6</w:t>
                  </w:r>
                </w:p>
              </w:tc>
              <w:tc>
                <w:tcPr>
                  <w:tcW w:w="1562" w:type="dxa"/>
                  <w:vAlign w:val="center"/>
                </w:tcPr>
                <w:p>
                  <w:pPr>
                    <w:adjustRightInd w:val="0"/>
                    <w:snapToGrid w:val="0"/>
                    <w:jc w:val="center"/>
                    <w:rPr>
                      <w:kern w:val="0"/>
                      <w:szCs w:val="21"/>
                    </w:rPr>
                  </w:pPr>
                  <w:r>
                    <w:rPr>
                      <w:rFonts w:hint="eastAsia"/>
                      <w:kern w:val="0"/>
                      <w:szCs w:val="21"/>
                    </w:rPr>
                    <w:t>球磨机</w:t>
                  </w:r>
                </w:p>
              </w:tc>
              <w:tc>
                <w:tcPr>
                  <w:tcW w:w="1100" w:type="dxa"/>
                  <w:vAlign w:val="center"/>
                </w:tcPr>
                <w:p>
                  <w:pPr>
                    <w:adjustRightInd w:val="0"/>
                    <w:snapToGrid w:val="0"/>
                    <w:jc w:val="center"/>
                    <w:rPr>
                      <w:kern w:val="0"/>
                      <w:szCs w:val="21"/>
                    </w:rPr>
                  </w:pPr>
                  <w:r>
                    <w:rPr>
                      <w:rFonts w:hint="eastAsia"/>
                      <w:kern w:val="0"/>
                      <w:szCs w:val="21"/>
                    </w:rPr>
                    <w:t>2</w:t>
                  </w:r>
                </w:p>
              </w:tc>
              <w:tc>
                <w:tcPr>
                  <w:tcW w:w="1488" w:type="dxa"/>
                  <w:vAlign w:val="center"/>
                </w:tcPr>
                <w:p>
                  <w:pPr>
                    <w:adjustRightInd w:val="0"/>
                    <w:snapToGrid w:val="0"/>
                    <w:jc w:val="center"/>
                    <w:rPr>
                      <w:kern w:val="0"/>
                      <w:szCs w:val="21"/>
                    </w:rPr>
                  </w:pPr>
                  <w:r>
                    <w:rPr>
                      <w:rFonts w:hint="eastAsia"/>
                      <w:kern w:val="0"/>
                      <w:szCs w:val="21"/>
                    </w:rPr>
                    <w:t>85</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7</w:t>
                  </w:r>
                </w:p>
              </w:tc>
              <w:tc>
                <w:tcPr>
                  <w:tcW w:w="1562" w:type="dxa"/>
                  <w:vAlign w:val="center"/>
                </w:tcPr>
                <w:p>
                  <w:pPr>
                    <w:adjustRightInd w:val="0"/>
                    <w:snapToGrid w:val="0"/>
                    <w:jc w:val="center"/>
                    <w:rPr>
                      <w:kern w:val="0"/>
                      <w:szCs w:val="21"/>
                    </w:rPr>
                  </w:pPr>
                  <w:r>
                    <w:rPr>
                      <w:rFonts w:hint="eastAsia"/>
                      <w:kern w:val="0"/>
                      <w:szCs w:val="21"/>
                    </w:rPr>
                    <w:t>分级机</w:t>
                  </w:r>
                </w:p>
              </w:tc>
              <w:tc>
                <w:tcPr>
                  <w:tcW w:w="1100" w:type="dxa"/>
                  <w:vAlign w:val="center"/>
                </w:tcPr>
                <w:p>
                  <w:pPr>
                    <w:adjustRightInd w:val="0"/>
                    <w:snapToGrid w:val="0"/>
                    <w:jc w:val="center"/>
                    <w:rPr>
                      <w:kern w:val="0"/>
                      <w:szCs w:val="21"/>
                    </w:rPr>
                  </w:pPr>
                  <w:r>
                    <w:rPr>
                      <w:rFonts w:hint="eastAsia"/>
                      <w:kern w:val="0"/>
                      <w:szCs w:val="21"/>
                    </w:rPr>
                    <w:t>2</w:t>
                  </w:r>
                </w:p>
              </w:tc>
              <w:tc>
                <w:tcPr>
                  <w:tcW w:w="1488" w:type="dxa"/>
                  <w:vAlign w:val="center"/>
                </w:tcPr>
                <w:p>
                  <w:pPr>
                    <w:adjustRightInd w:val="0"/>
                    <w:snapToGrid w:val="0"/>
                    <w:jc w:val="center"/>
                    <w:rPr>
                      <w:kern w:val="0"/>
                      <w:szCs w:val="21"/>
                    </w:rPr>
                  </w:pPr>
                  <w:r>
                    <w:rPr>
                      <w:rFonts w:hint="eastAsia"/>
                      <w:kern w:val="0"/>
                      <w:szCs w:val="21"/>
                    </w:rPr>
                    <w:t>80</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8</w:t>
                  </w:r>
                </w:p>
              </w:tc>
              <w:tc>
                <w:tcPr>
                  <w:tcW w:w="1562" w:type="dxa"/>
                  <w:vAlign w:val="center"/>
                </w:tcPr>
                <w:p>
                  <w:pPr>
                    <w:adjustRightInd w:val="0"/>
                    <w:snapToGrid w:val="0"/>
                    <w:jc w:val="center"/>
                    <w:rPr>
                      <w:kern w:val="0"/>
                      <w:szCs w:val="21"/>
                    </w:rPr>
                  </w:pPr>
                  <w:r>
                    <w:rPr>
                      <w:rFonts w:hint="eastAsia"/>
                      <w:kern w:val="0"/>
                      <w:szCs w:val="21"/>
                    </w:rPr>
                    <w:t>电磁机</w:t>
                  </w:r>
                </w:p>
              </w:tc>
              <w:tc>
                <w:tcPr>
                  <w:tcW w:w="1100" w:type="dxa"/>
                  <w:vAlign w:val="center"/>
                </w:tcPr>
                <w:p>
                  <w:pPr>
                    <w:adjustRightInd w:val="0"/>
                    <w:snapToGrid w:val="0"/>
                    <w:jc w:val="center"/>
                    <w:rPr>
                      <w:kern w:val="0"/>
                      <w:szCs w:val="21"/>
                    </w:rPr>
                  </w:pPr>
                  <w:r>
                    <w:rPr>
                      <w:rFonts w:hint="eastAsia"/>
                      <w:kern w:val="0"/>
                      <w:szCs w:val="21"/>
                    </w:rPr>
                    <w:t>6</w:t>
                  </w:r>
                </w:p>
              </w:tc>
              <w:tc>
                <w:tcPr>
                  <w:tcW w:w="1488" w:type="dxa"/>
                  <w:vAlign w:val="center"/>
                </w:tcPr>
                <w:p>
                  <w:pPr>
                    <w:adjustRightInd w:val="0"/>
                    <w:snapToGrid w:val="0"/>
                    <w:jc w:val="center"/>
                    <w:rPr>
                      <w:kern w:val="0"/>
                      <w:szCs w:val="21"/>
                    </w:rPr>
                  </w:pPr>
                  <w:r>
                    <w:rPr>
                      <w:rFonts w:hint="eastAsia"/>
                      <w:kern w:val="0"/>
                      <w:szCs w:val="21"/>
                    </w:rPr>
                    <w:t>75</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9</w:t>
                  </w:r>
                </w:p>
              </w:tc>
              <w:tc>
                <w:tcPr>
                  <w:tcW w:w="1562" w:type="dxa"/>
                  <w:vAlign w:val="center"/>
                </w:tcPr>
                <w:p>
                  <w:pPr>
                    <w:adjustRightInd w:val="0"/>
                    <w:snapToGrid w:val="0"/>
                    <w:jc w:val="center"/>
                    <w:rPr>
                      <w:kern w:val="0"/>
                      <w:szCs w:val="21"/>
                    </w:rPr>
                  </w:pPr>
                  <w:r>
                    <w:rPr>
                      <w:rFonts w:hint="eastAsia"/>
                      <w:kern w:val="0"/>
                      <w:szCs w:val="21"/>
                      <w:lang w:val="en-US" w:eastAsia="zh-CN"/>
                    </w:rPr>
                    <w:t>带</w:t>
                  </w:r>
                  <w:r>
                    <w:rPr>
                      <w:rFonts w:hint="eastAsia"/>
                      <w:kern w:val="0"/>
                      <w:szCs w:val="21"/>
                    </w:rPr>
                    <w:t>式脱水机</w:t>
                  </w:r>
                </w:p>
              </w:tc>
              <w:tc>
                <w:tcPr>
                  <w:tcW w:w="1100" w:type="dxa"/>
                  <w:vAlign w:val="center"/>
                </w:tcPr>
                <w:p>
                  <w:pPr>
                    <w:adjustRightInd w:val="0"/>
                    <w:snapToGrid w:val="0"/>
                    <w:jc w:val="center"/>
                    <w:rPr>
                      <w:kern w:val="0"/>
                      <w:szCs w:val="21"/>
                    </w:rPr>
                  </w:pPr>
                  <w:r>
                    <w:rPr>
                      <w:rFonts w:hint="eastAsia"/>
                      <w:kern w:val="0"/>
                      <w:szCs w:val="21"/>
                    </w:rPr>
                    <w:t>2</w:t>
                  </w:r>
                </w:p>
              </w:tc>
              <w:tc>
                <w:tcPr>
                  <w:tcW w:w="1488" w:type="dxa"/>
                  <w:vAlign w:val="center"/>
                </w:tcPr>
                <w:p>
                  <w:pPr>
                    <w:adjustRightInd w:val="0"/>
                    <w:snapToGrid w:val="0"/>
                    <w:jc w:val="center"/>
                    <w:rPr>
                      <w:kern w:val="0"/>
                      <w:szCs w:val="21"/>
                    </w:rPr>
                  </w:pPr>
                  <w:r>
                    <w:rPr>
                      <w:rFonts w:hint="eastAsia"/>
                      <w:kern w:val="0"/>
                      <w:szCs w:val="21"/>
                    </w:rPr>
                    <w:t>80</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10</w:t>
                  </w:r>
                </w:p>
              </w:tc>
              <w:tc>
                <w:tcPr>
                  <w:tcW w:w="1562" w:type="dxa"/>
                  <w:vAlign w:val="center"/>
                </w:tcPr>
                <w:p>
                  <w:pPr>
                    <w:adjustRightInd w:val="0"/>
                    <w:snapToGrid w:val="0"/>
                    <w:jc w:val="center"/>
                    <w:rPr>
                      <w:kern w:val="0"/>
                      <w:szCs w:val="21"/>
                    </w:rPr>
                  </w:pPr>
                  <w:r>
                    <w:rPr>
                      <w:rFonts w:hint="eastAsia"/>
                      <w:kern w:val="0"/>
                      <w:szCs w:val="21"/>
                    </w:rPr>
                    <w:t>板框压</w:t>
                  </w:r>
                  <w:r>
                    <w:rPr>
                      <w:rFonts w:hint="eastAsia"/>
                      <w:kern w:val="0"/>
                      <w:szCs w:val="21"/>
                      <w:lang w:val="en-US" w:eastAsia="zh-CN"/>
                    </w:rPr>
                    <w:t>滤</w:t>
                  </w:r>
                  <w:r>
                    <w:rPr>
                      <w:rFonts w:hint="eastAsia"/>
                      <w:kern w:val="0"/>
                      <w:szCs w:val="21"/>
                    </w:rPr>
                    <w:t>机</w:t>
                  </w:r>
                </w:p>
              </w:tc>
              <w:tc>
                <w:tcPr>
                  <w:tcW w:w="1100" w:type="dxa"/>
                  <w:vAlign w:val="center"/>
                </w:tcPr>
                <w:p>
                  <w:pPr>
                    <w:adjustRightInd w:val="0"/>
                    <w:snapToGrid w:val="0"/>
                    <w:jc w:val="center"/>
                    <w:rPr>
                      <w:kern w:val="0"/>
                      <w:szCs w:val="21"/>
                    </w:rPr>
                  </w:pPr>
                  <w:r>
                    <w:rPr>
                      <w:rFonts w:hint="eastAsia"/>
                      <w:kern w:val="0"/>
                      <w:szCs w:val="21"/>
                    </w:rPr>
                    <w:t>3</w:t>
                  </w:r>
                </w:p>
              </w:tc>
              <w:tc>
                <w:tcPr>
                  <w:tcW w:w="1488" w:type="dxa"/>
                  <w:vAlign w:val="center"/>
                </w:tcPr>
                <w:p>
                  <w:pPr>
                    <w:adjustRightInd w:val="0"/>
                    <w:snapToGrid w:val="0"/>
                    <w:jc w:val="center"/>
                    <w:rPr>
                      <w:kern w:val="0"/>
                      <w:szCs w:val="21"/>
                    </w:rPr>
                  </w:pPr>
                  <w:r>
                    <w:rPr>
                      <w:rFonts w:hint="eastAsia"/>
                      <w:kern w:val="0"/>
                      <w:szCs w:val="21"/>
                    </w:rPr>
                    <w:t>75</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7" w:hRule="atLeast"/>
              </w:trPr>
              <w:tc>
                <w:tcPr>
                  <w:tcW w:w="683" w:type="dxa"/>
                  <w:vAlign w:val="center"/>
                </w:tcPr>
                <w:p>
                  <w:pPr>
                    <w:adjustRightInd w:val="0"/>
                    <w:snapToGrid w:val="0"/>
                    <w:jc w:val="center"/>
                    <w:rPr>
                      <w:kern w:val="0"/>
                      <w:szCs w:val="21"/>
                    </w:rPr>
                  </w:pPr>
                  <w:r>
                    <w:rPr>
                      <w:rFonts w:hint="eastAsia"/>
                      <w:kern w:val="0"/>
                      <w:szCs w:val="21"/>
                    </w:rPr>
                    <w:t>11</w:t>
                  </w:r>
                </w:p>
              </w:tc>
              <w:tc>
                <w:tcPr>
                  <w:tcW w:w="1562" w:type="dxa"/>
                  <w:vAlign w:val="center"/>
                </w:tcPr>
                <w:p>
                  <w:pPr>
                    <w:adjustRightInd w:val="0"/>
                    <w:snapToGrid w:val="0"/>
                    <w:jc w:val="center"/>
                    <w:rPr>
                      <w:kern w:val="0"/>
                      <w:szCs w:val="21"/>
                    </w:rPr>
                  </w:pPr>
                  <w:r>
                    <w:rPr>
                      <w:rFonts w:hint="eastAsia"/>
                      <w:kern w:val="0"/>
                      <w:szCs w:val="21"/>
                    </w:rPr>
                    <w:t>风机</w:t>
                  </w:r>
                </w:p>
              </w:tc>
              <w:tc>
                <w:tcPr>
                  <w:tcW w:w="1100" w:type="dxa"/>
                  <w:vAlign w:val="center"/>
                </w:tcPr>
                <w:p>
                  <w:pPr>
                    <w:adjustRightInd w:val="0"/>
                    <w:snapToGrid w:val="0"/>
                    <w:jc w:val="center"/>
                    <w:rPr>
                      <w:kern w:val="0"/>
                      <w:szCs w:val="21"/>
                    </w:rPr>
                  </w:pPr>
                  <w:r>
                    <w:rPr>
                      <w:rFonts w:hint="eastAsia"/>
                      <w:kern w:val="0"/>
                      <w:szCs w:val="21"/>
                    </w:rPr>
                    <w:t>4</w:t>
                  </w:r>
                </w:p>
              </w:tc>
              <w:tc>
                <w:tcPr>
                  <w:tcW w:w="1488" w:type="dxa"/>
                  <w:vAlign w:val="center"/>
                </w:tcPr>
                <w:p>
                  <w:pPr>
                    <w:adjustRightInd w:val="0"/>
                    <w:snapToGrid w:val="0"/>
                    <w:jc w:val="center"/>
                    <w:rPr>
                      <w:kern w:val="0"/>
                      <w:szCs w:val="21"/>
                    </w:rPr>
                  </w:pPr>
                  <w:r>
                    <w:rPr>
                      <w:rFonts w:hint="eastAsia"/>
                      <w:kern w:val="0"/>
                      <w:szCs w:val="21"/>
                    </w:rPr>
                    <w:t>85</w:t>
                  </w:r>
                </w:p>
              </w:tc>
              <w:tc>
                <w:tcPr>
                  <w:tcW w:w="1812" w:type="dxa"/>
                  <w:vMerge w:val="continue"/>
                  <w:vAlign w:val="center"/>
                </w:tcPr>
                <w:p>
                  <w:pPr>
                    <w:adjustRightInd w:val="0"/>
                    <w:snapToGrid w:val="0"/>
                    <w:jc w:val="left"/>
                    <w:rPr>
                      <w:kern w:val="0"/>
                      <w:szCs w:val="21"/>
                    </w:rPr>
                  </w:pPr>
                </w:p>
              </w:tc>
              <w:tc>
                <w:tcPr>
                  <w:tcW w:w="1291" w:type="dxa"/>
                  <w:vAlign w:val="center"/>
                </w:tcPr>
                <w:p>
                  <w:pPr>
                    <w:adjustRightInd w:val="0"/>
                    <w:snapToGrid w:val="0"/>
                    <w:jc w:val="center"/>
                    <w:rPr>
                      <w:kern w:val="0"/>
                      <w:szCs w:val="21"/>
                    </w:rPr>
                  </w:pPr>
                  <w:r>
                    <w:rPr>
                      <w:rFonts w:hint="eastAsia"/>
                      <w:kern w:val="0"/>
                      <w:szCs w:val="21"/>
                    </w:rPr>
                    <w:t>60</w:t>
                  </w:r>
                </w:p>
              </w:tc>
            </w:tr>
          </w:tbl>
          <w:p>
            <w:pPr>
              <w:adjustRightInd w:val="0"/>
              <w:snapToGrid w:val="0"/>
              <w:spacing w:before="120" w:beforeLines="50" w:line="360" w:lineRule="auto"/>
              <w:ind w:firstLine="482" w:firstLineChars="200"/>
              <w:jc w:val="left"/>
              <w:rPr>
                <w:b/>
                <w:snapToGrid w:val="0"/>
                <w:kern w:val="0"/>
                <w:sz w:val="24"/>
              </w:rPr>
            </w:pPr>
            <w:r>
              <w:rPr>
                <w:rFonts w:hint="eastAsia"/>
                <w:b/>
                <w:snapToGrid w:val="0"/>
                <w:kern w:val="0"/>
                <w:sz w:val="24"/>
              </w:rPr>
              <w:t>3.2 声环境影响分析</w:t>
            </w:r>
          </w:p>
          <w:p>
            <w:pPr>
              <w:adjustRightInd w:val="0"/>
              <w:snapToGrid w:val="0"/>
              <w:spacing w:line="360" w:lineRule="auto"/>
              <w:ind w:firstLine="480" w:firstLineChars="200"/>
              <w:rPr>
                <w:kern w:val="0"/>
                <w:sz w:val="24"/>
              </w:rPr>
            </w:pPr>
            <w:r>
              <w:rPr>
                <w:rFonts w:hint="eastAsia"/>
                <w:kern w:val="0"/>
                <w:sz w:val="24"/>
              </w:rPr>
              <w:t>本项目运营期噪声源主要是螺旋洗矿机、</w:t>
            </w:r>
            <w:r>
              <w:rPr>
                <w:rFonts w:hint="eastAsia"/>
                <w:kern w:val="0"/>
                <w:sz w:val="24"/>
                <w:lang w:eastAsia="zh-CN"/>
              </w:rPr>
              <w:t>原矿石粉碎机</w:t>
            </w:r>
            <w:r>
              <w:rPr>
                <w:rFonts w:hint="eastAsia"/>
                <w:kern w:val="0"/>
                <w:sz w:val="24"/>
              </w:rPr>
              <w:t>、球磨机、分筛机、电磁机、脱水机、铲车等设备运行产生的噪声及风机运行时产生的空气动力性噪声，其声级值约为70~85dB（A）。本项目生产设备均设置在车间内，评价要求对高噪声设备安装减振基础，并定期对各类设备进行日常检修，确保其处于良好的运行状态，以避免异常噪声的产生，采取以上措施后各高噪设备可降低25dB（A）以上。</w:t>
            </w:r>
          </w:p>
          <w:p>
            <w:pPr>
              <w:adjustRightInd w:val="0"/>
              <w:snapToGrid w:val="0"/>
              <w:spacing w:line="360" w:lineRule="auto"/>
              <w:ind w:firstLine="480" w:firstLineChars="200"/>
              <w:rPr>
                <w:kern w:val="0"/>
                <w:sz w:val="24"/>
              </w:rPr>
            </w:pPr>
            <w:r>
              <w:rPr>
                <w:rFonts w:hint="eastAsia"/>
                <w:kern w:val="0"/>
                <w:sz w:val="24"/>
              </w:rPr>
              <w:t>采用噪声衰减模式计算厂界四周的噪声值，并以此预测本项目厂界达标情况。</w:t>
            </w:r>
          </w:p>
          <w:p>
            <w:pPr>
              <w:adjustRightInd w:val="0"/>
              <w:snapToGrid w:val="0"/>
              <w:spacing w:line="360" w:lineRule="auto"/>
              <w:ind w:firstLine="480" w:firstLineChars="200"/>
              <w:rPr>
                <w:kern w:val="0"/>
                <w:sz w:val="24"/>
              </w:rPr>
            </w:pPr>
            <w:r>
              <w:rPr>
                <w:rFonts w:hint="eastAsia"/>
                <w:kern w:val="0"/>
                <w:sz w:val="24"/>
              </w:rPr>
              <w:t>（1）点声源衰减公式：</w:t>
            </w:r>
          </w:p>
          <w:p>
            <w:pPr>
              <w:adjustRightInd w:val="0"/>
              <w:snapToGrid w:val="0"/>
              <w:spacing w:line="360" w:lineRule="auto"/>
              <w:ind w:firstLine="480" w:firstLineChars="200"/>
              <w:jc w:val="center"/>
              <w:rPr>
                <w:kern w:val="0"/>
                <w:sz w:val="24"/>
              </w:rPr>
            </w:pPr>
            <w:r>
              <w:rPr>
                <w:rFonts w:hint="eastAsia"/>
                <w:kern w:val="0"/>
                <w:sz w:val="24"/>
              </w:rPr>
              <w:t>L</w:t>
            </w:r>
            <w:r>
              <w:rPr>
                <w:rFonts w:hint="eastAsia"/>
                <w:kern w:val="0"/>
                <w:sz w:val="24"/>
                <w:vertAlign w:val="subscript"/>
              </w:rPr>
              <w:t>p2</w:t>
            </w:r>
            <w:r>
              <w:rPr>
                <w:rFonts w:hint="eastAsia"/>
                <w:kern w:val="0"/>
                <w:sz w:val="24"/>
              </w:rPr>
              <w:t>＝L</w:t>
            </w:r>
            <w:r>
              <w:rPr>
                <w:rFonts w:hint="eastAsia"/>
                <w:kern w:val="0"/>
                <w:sz w:val="24"/>
                <w:vertAlign w:val="subscript"/>
              </w:rPr>
              <w:t>p1</w:t>
            </w:r>
            <w:r>
              <w:rPr>
                <w:rFonts w:hint="eastAsia"/>
                <w:kern w:val="0"/>
                <w:sz w:val="24"/>
              </w:rPr>
              <w:t>－20Lg（r</w:t>
            </w:r>
            <w:r>
              <w:rPr>
                <w:rFonts w:hint="eastAsia"/>
                <w:kern w:val="0"/>
                <w:sz w:val="24"/>
                <w:vertAlign w:val="subscript"/>
              </w:rPr>
              <w:t>2</w:t>
            </w:r>
            <w:r>
              <w:rPr>
                <w:rFonts w:hint="eastAsia"/>
                <w:kern w:val="0"/>
                <w:sz w:val="24"/>
              </w:rPr>
              <w:t>/r</w:t>
            </w:r>
            <w:r>
              <w:rPr>
                <w:rFonts w:hint="eastAsia"/>
                <w:kern w:val="0"/>
                <w:sz w:val="24"/>
                <w:vertAlign w:val="subscript"/>
              </w:rPr>
              <w:t>1</w:t>
            </w:r>
            <w:r>
              <w:rPr>
                <w:rFonts w:hint="eastAsia"/>
                <w:kern w:val="0"/>
                <w:sz w:val="24"/>
              </w:rPr>
              <w:t>）</w:t>
            </w:r>
          </w:p>
          <w:p>
            <w:pPr>
              <w:adjustRightInd w:val="0"/>
              <w:snapToGrid w:val="0"/>
              <w:spacing w:line="360" w:lineRule="auto"/>
              <w:ind w:firstLine="480" w:firstLineChars="200"/>
              <w:rPr>
                <w:kern w:val="0"/>
                <w:sz w:val="24"/>
              </w:rPr>
            </w:pPr>
            <w:r>
              <w:rPr>
                <w:rFonts w:hint="eastAsia"/>
                <w:kern w:val="0"/>
                <w:sz w:val="24"/>
              </w:rPr>
              <w:t>其中：L</w:t>
            </w:r>
            <w:r>
              <w:rPr>
                <w:rFonts w:hint="eastAsia"/>
                <w:kern w:val="0"/>
                <w:sz w:val="24"/>
                <w:vertAlign w:val="subscript"/>
              </w:rPr>
              <w:t>p1</w:t>
            </w:r>
            <w:r>
              <w:rPr>
                <w:rFonts w:hint="eastAsia"/>
                <w:kern w:val="0"/>
                <w:sz w:val="24"/>
              </w:rPr>
              <w:t>—距声源r</w:t>
            </w:r>
            <w:r>
              <w:rPr>
                <w:rFonts w:hint="eastAsia"/>
                <w:kern w:val="0"/>
                <w:sz w:val="24"/>
                <w:vertAlign w:val="subscript"/>
              </w:rPr>
              <w:t>1</w:t>
            </w:r>
            <w:r>
              <w:rPr>
                <w:rFonts w:hint="eastAsia"/>
                <w:kern w:val="0"/>
                <w:sz w:val="24"/>
              </w:rPr>
              <w:t>米处的声压级dB（A）；</w:t>
            </w:r>
          </w:p>
          <w:p>
            <w:pPr>
              <w:adjustRightInd w:val="0"/>
              <w:snapToGrid w:val="0"/>
              <w:spacing w:line="360" w:lineRule="auto"/>
              <w:ind w:firstLine="1200" w:firstLineChars="500"/>
              <w:rPr>
                <w:kern w:val="0"/>
                <w:sz w:val="24"/>
              </w:rPr>
            </w:pPr>
            <w:r>
              <w:rPr>
                <w:rFonts w:hint="eastAsia"/>
                <w:kern w:val="0"/>
                <w:sz w:val="24"/>
              </w:rPr>
              <w:t>L</w:t>
            </w:r>
            <w:r>
              <w:rPr>
                <w:rFonts w:hint="eastAsia"/>
                <w:kern w:val="0"/>
                <w:sz w:val="24"/>
                <w:vertAlign w:val="subscript"/>
              </w:rPr>
              <w:t>p2</w:t>
            </w:r>
            <w:r>
              <w:rPr>
                <w:rFonts w:hint="eastAsia"/>
                <w:kern w:val="0"/>
                <w:sz w:val="24"/>
              </w:rPr>
              <w:t>—距声源r</w:t>
            </w:r>
            <w:r>
              <w:rPr>
                <w:rFonts w:hint="eastAsia"/>
                <w:kern w:val="0"/>
                <w:sz w:val="24"/>
                <w:vertAlign w:val="subscript"/>
              </w:rPr>
              <w:t>2</w:t>
            </w:r>
            <w:r>
              <w:rPr>
                <w:rFonts w:hint="eastAsia"/>
                <w:kern w:val="0"/>
                <w:sz w:val="24"/>
              </w:rPr>
              <w:t>米处的声压级dB（A）。</w:t>
            </w:r>
          </w:p>
          <w:p>
            <w:pPr>
              <w:adjustRightInd w:val="0"/>
              <w:snapToGrid w:val="0"/>
              <w:spacing w:line="360" w:lineRule="auto"/>
              <w:ind w:firstLine="480" w:firstLineChars="200"/>
              <w:rPr>
                <w:kern w:val="0"/>
                <w:sz w:val="24"/>
              </w:rPr>
            </w:pPr>
            <w:r>
              <w:rPr>
                <w:rFonts w:hint="eastAsia"/>
                <w:kern w:val="0"/>
                <w:sz w:val="24"/>
              </w:rPr>
              <w:t>（2）噪声级叠加公式：</w:t>
            </w:r>
          </w:p>
          <w:p>
            <w:pPr>
              <w:adjustRightInd w:val="0"/>
              <w:snapToGrid w:val="0"/>
              <w:spacing w:line="360" w:lineRule="auto"/>
              <w:ind w:firstLine="480" w:firstLineChars="200"/>
              <w:rPr>
                <w:kern w:val="0"/>
                <w:sz w:val="24"/>
              </w:rPr>
            </w:pPr>
            <w:r>
              <w:rPr>
                <w:rFonts w:hint="eastAsia"/>
                <w:kern w:val="0"/>
                <w:sz w:val="24"/>
              </w:rPr>
              <w:t>对于相距较远的两个或两个以上噪声源同时存在时，它们对于远处某点（预测点）的声级必须按量叠加，该点的总声压级可用下面的公式来计算：</w:t>
            </w:r>
          </w:p>
          <w:p>
            <w:pPr>
              <w:adjustRightInd w:val="0"/>
              <w:snapToGrid w:val="0"/>
              <w:spacing w:line="360" w:lineRule="auto"/>
              <w:ind w:firstLine="480" w:firstLineChars="200"/>
              <w:jc w:val="center"/>
              <w:rPr>
                <w:kern w:val="0"/>
                <w:sz w:val="24"/>
              </w:rPr>
            </w:pPr>
            <w:r>
              <w:rPr>
                <w:rFonts w:hint="eastAsia"/>
                <w:kern w:val="0"/>
                <w:sz w:val="24"/>
              </w:rPr>
              <w:t>L</w:t>
            </w:r>
            <w:r>
              <w:rPr>
                <w:rFonts w:hint="eastAsia"/>
                <w:kern w:val="0"/>
                <w:sz w:val="24"/>
                <w:vertAlign w:val="subscript"/>
              </w:rPr>
              <w:t>p</w:t>
            </w:r>
            <w:r>
              <w:rPr>
                <w:rFonts w:hint="eastAsia"/>
                <w:kern w:val="0"/>
                <w:sz w:val="24"/>
              </w:rPr>
              <w:t>＝10L</w:t>
            </w:r>
            <w:r>
              <w:rPr>
                <w:rFonts w:hint="eastAsia"/>
                <w:kern w:val="0"/>
                <w:sz w:val="24"/>
                <w:vertAlign w:val="subscript"/>
              </w:rPr>
              <w:t>g</w:t>
            </w:r>
            <w:r>
              <w:rPr>
                <w:rFonts w:hint="eastAsia"/>
                <w:kern w:val="0"/>
                <w:sz w:val="24"/>
              </w:rPr>
              <w:t>（10</w:t>
            </w:r>
            <w:r>
              <w:rPr>
                <w:rFonts w:hint="eastAsia"/>
                <w:kern w:val="0"/>
                <w:sz w:val="24"/>
                <w:vertAlign w:val="superscript"/>
              </w:rPr>
              <w:t>Lp11/10</w:t>
            </w:r>
            <w:r>
              <w:rPr>
                <w:rFonts w:hint="eastAsia"/>
                <w:kern w:val="0"/>
                <w:sz w:val="24"/>
              </w:rPr>
              <w:t>＋10</w:t>
            </w:r>
            <w:r>
              <w:rPr>
                <w:rFonts w:hint="eastAsia"/>
                <w:kern w:val="0"/>
                <w:sz w:val="24"/>
                <w:vertAlign w:val="superscript"/>
              </w:rPr>
              <w:t>Lp21/10</w:t>
            </w:r>
            <w:r>
              <w:rPr>
                <w:rFonts w:hint="eastAsia"/>
                <w:kern w:val="0"/>
                <w:sz w:val="24"/>
              </w:rPr>
              <w:t>＋…）</w:t>
            </w:r>
          </w:p>
          <w:p>
            <w:pPr>
              <w:adjustRightInd w:val="0"/>
              <w:snapToGrid w:val="0"/>
              <w:spacing w:line="360" w:lineRule="auto"/>
              <w:ind w:firstLine="480" w:firstLineChars="200"/>
              <w:rPr>
                <w:kern w:val="0"/>
                <w:sz w:val="24"/>
              </w:rPr>
            </w:pPr>
            <w:r>
              <w:rPr>
                <w:rFonts w:hint="eastAsia"/>
                <w:kern w:val="0"/>
                <w:sz w:val="24"/>
              </w:rPr>
              <w:t>其中：L</w:t>
            </w:r>
            <w:r>
              <w:rPr>
                <w:rFonts w:hint="eastAsia"/>
                <w:kern w:val="0"/>
                <w:sz w:val="24"/>
                <w:vertAlign w:val="subscript"/>
              </w:rPr>
              <w:t>p</w:t>
            </w:r>
            <w:r>
              <w:rPr>
                <w:rFonts w:hint="eastAsia"/>
                <w:kern w:val="0"/>
                <w:sz w:val="24"/>
              </w:rPr>
              <w:t>—某点叠加后的总声压级dB（A）；</w:t>
            </w:r>
          </w:p>
          <w:p>
            <w:pPr>
              <w:adjustRightInd w:val="0"/>
              <w:snapToGrid w:val="0"/>
              <w:spacing w:line="360" w:lineRule="auto"/>
              <w:ind w:firstLine="480" w:firstLineChars="200"/>
              <w:rPr>
                <w:kern w:val="0"/>
                <w:sz w:val="24"/>
              </w:rPr>
            </w:pPr>
            <w:r>
              <w:rPr>
                <w:rFonts w:hint="eastAsia"/>
                <w:kern w:val="0"/>
                <w:sz w:val="24"/>
              </w:rPr>
              <w:t xml:space="preserve">      L</w:t>
            </w:r>
            <w:r>
              <w:rPr>
                <w:rFonts w:hint="eastAsia"/>
                <w:kern w:val="0"/>
                <w:sz w:val="24"/>
                <w:vertAlign w:val="subscript"/>
              </w:rPr>
              <w:t>p11</w:t>
            </w:r>
            <w:r>
              <w:rPr>
                <w:rFonts w:hint="eastAsia"/>
                <w:kern w:val="0"/>
                <w:sz w:val="24"/>
              </w:rPr>
              <w:t>、L</w:t>
            </w:r>
            <w:r>
              <w:rPr>
                <w:rFonts w:hint="eastAsia"/>
                <w:kern w:val="0"/>
                <w:sz w:val="24"/>
                <w:vertAlign w:val="subscript"/>
              </w:rPr>
              <w:t>p21</w:t>
            </w:r>
            <w:r>
              <w:rPr>
                <w:rFonts w:hint="eastAsia"/>
                <w:kern w:val="0"/>
                <w:sz w:val="24"/>
              </w:rPr>
              <w:t>为每个噪声源对该点的声压级dB（A）。</w:t>
            </w:r>
          </w:p>
          <w:p>
            <w:pPr>
              <w:adjustRightInd w:val="0"/>
              <w:snapToGrid w:val="0"/>
              <w:spacing w:line="360" w:lineRule="auto"/>
              <w:ind w:firstLine="480" w:firstLineChars="200"/>
              <w:rPr>
                <w:kern w:val="0"/>
                <w:sz w:val="24"/>
              </w:rPr>
            </w:pPr>
            <w:r>
              <w:rPr>
                <w:rFonts w:hint="eastAsia"/>
                <w:kern w:val="0"/>
                <w:sz w:val="24"/>
              </w:rPr>
              <w:t>本项目厂址东、西、南、北四厂界噪声贡献值见表4-1</w:t>
            </w:r>
            <w:r>
              <w:rPr>
                <w:rFonts w:hint="eastAsia"/>
                <w:kern w:val="0"/>
                <w:sz w:val="24"/>
                <w:lang w:val="en-US" w:eastAsia="zh-CN"/>
              </w:rPr>
              <w:t>6</w:t>
            </w:r>
            <w:r>
              <w:rPr>
                <w:rFonts w:hint="eastAsia"/>
                <w:kern w:val="0"/>
                <w:sz w:val="24"/>
              </w:rPr>
              <w:t>。</w:t>
            </w:r>
          </w:p>
          <w:p>
            <w:pPr>
              <w:pStyle w:val="44"/>
              <w:spacing w:line="360" w:lineRule="auto"/>
              <w:rPr>
                <w:rFonts w:eastAsia="宋体"/>
                <w:sz w:val="24"/>
                <w:szCs w:val="24"/>
              </w:rPr>
            </w:pPr>
            <w:r>
              <w:rPr>
                <w:rFonts w:hint="eastAsia" w:eastAsia="宋体"/>
                <w:sz w:val="24"/>
                <w:szCs w:val="24"/>
              </w:rPr>
              <w:t>表4-1</w:t>
            </w:r>
            <w:r>
              <w:rPr>
                <w:rFonts w:hint="eastAsia" w:eastAsia="宋体"/>
                <w:sz w:val="24"/>
                <w:szCs w:val="24"/>
                <w:lang w:val="en-US" w:eastAsia="zh-CN"/>
              </w:rPr>
              <w:t>6</w:t>
            </w:r>
            <w:r>
              <w:rPr>
                <w:rFonts w:hint="eastAsia" w:eastAsia="宋体"/>
                <w:sz w:val="24"/>
                <w:szCs w:val="24"/>
              </w:rPr>
              <w:t xml:space="preserve">    本项目厂界四周噪声贡献值一览表</w:t>
            </w:r>
          </w:p>
          <w:tbl>
            <w:tblPr>
              <w:tblStyle w:val="26"/>
              <w:tblW w:w="793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1"/>
              <w:gridCol w:w="1602"/>
              <w:gridCol w:w="1229"/>
              <w:gridCol w:w="1185"/>
              <w:gridCol w:w="1162"/>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611" w:type="dxa"/>
                  <w:vAlign w:val="center"/>
                </w:tcPr>
                <w:p>
                  <w:pPr>
                    <w:widowControl/>
                    <w:tabs>
                      <w:tab w:val="left" w:pos="1110"/>
                    </w:tabs>
                    <w:jc w:val="center"/>
                    <w:rPr>
                      <w:b/>
                      <w:snapToGrid w:val="0"/>
                      <w:kern w:val="0"/>
                      <w:szCs w:val="20"/>
                    </w:rPr>
                  </w:pPr>
                  <w:r>
                    <w:rPr>
                      <w:b/>
                      <w:snapToGrid w:val="0"/>
                      <w:kern w:val="0"/>
                      <w:szCs w:val="20"/>
                    </w:rPr>
                    <w:t>预测位置</w:t>
                  </w:r>
                </w:p>
              </w:tc>
              <w:tc>
                <w:tcPr>
                  <w:tcW w:w="1602" w:type="dxa"/>
                  <w:vAlign w:val="center"/>
                </w:tcPr>
                <w:p>
                  <w:pPr>
                    <w:widowControl/>
                    <w:tabs>
                      <w:tab w:val="left" w:pos="1110"/>
                    </w:tabs>
                    <w:jc w:val="center"/>
                    <w:rPr>
                      <w:b/>
                      <w:snapToGrid w:val="0"/>
                      <w:kern w:val="0"/>
                      <w:szCs w:val="20"/>
                    </w:rPr>
                  </w:pPr>
                  <w:r>
                    <w:rPr>
                      <w:rFonts w:hint="eastAsia"/>
                      <w:b/>
                      <w:snapToGrid w:val="0"/>
                      <w:kern w:val="0"/>
                      <w:szCs w:val="20"/>
                    </w:rPr>
                    <w:t>源强dB</w:t>
                  </w:r>
                  <w:r>
                    <w:rPr>
                      <w:b/>
                      <w:bCs/>
                      <w:snapToGrid w:val="0"/>
                      <w:kern w:val="0"/>
                      <w:szCs w:val="20"/>
                    </w:rPr>
                    <w:t>(A)</w:t>
                  </w:r>
                </w:p>
              </w:tc>
              <w:tc>
                <w:tcPr>
                  <w:tcW w:w="1229" w:type="dxa"/>
                  <w:vAlign w:val="center"/>
                </w:tcPr>
                <w:p>
                  <w:pPr>
                    <w:widowControl/>
                    <w:tabs>
                      <w:tab w:val="left" w:pos="1110"/>
                    </w:tabs>
                    <w:jc w:val="center"/>
                    <w:rPr>
                      <w:b/>
                      <w:snapToGrid w:val="0"/>
                      <w:kern w:val="0"/>
                      <w:szCs w:val="20"/>
                    </w:rPr>
                  </w:pPr>
                  <w:r>
                    <w:rPr>
                      <w:b/>
                      <w:snapToGrid w:val="0"/>
                      <w:kern w:val="0"/>
                      <w:szCs w:val="20"/>
                    </w:rPr>
                    <w:t>距离厂界</w:t>
                  </w:r>
                  <w:r>
                    <w:rPr>
                      <w:rFonts w:hint="eastAsia"/>
                      <w:b/>
                      <w:snapToGrid w:val="0"/>
                      <w:kern w:val="0"/>
                      <w:szCs w:val="20"/>
                    </w:rPr>
                    <w:t>（m）</w:t>
                  </w:r>
                </w:p>
              </w:tc>
              <w:tc>
                <w:tcPr>
                  <w:tcW w:w="1185" w:type="dxa"/>
                  <w:vAlign w:val="center"/>
                </w:tcPr>
                <w:p>
                  <w:pPr>
                    <w:widowControl/>
                    <w:tabs>
                      <w:tab w:val="left" w:pos="1110"/>
                    </w:tabs>
                    <w:jc w:val="center"/>
                    <w:rPr>
                      <w:b/>
                      <w:snapToGrid w:val="0"/>
                      <w:kern w:val="0"/>
                      <w:szCs w:val="20"/>
                    </w:rPr>
                  </w:pPr>
                  <w:r>
                    <w:rPr>
                      <w:b/>
                      <w:snapToGrid w:val="0"/>
                      <w:kern w:val="0"/>
                      <w:szCs w:val="20"/>
                    </w:rPr>
                    <w:t>贡献值</w:t>
                  </w:r>
                  <w:r>
                    <w:rPr>
                      <w:rFonts w:hint="eastAsia"/>
                      <w:b/>
                      <w:snapToGrid w:val="0"/>
                      <w:kern w:val="0"/>
                      <w:szCs w:val="20"/>
                    </w:rPr>
                    <w:t>dB</w:t>
                  </w:r>
                  <w:r>
                    <w:rPr>
                      <w:b/>
                      <w:bCs/>
                      <w:snapToGrid w:val="0"/>
                      <w:kern w:val="0"/>
                      <w:szCs w:val="20"/>
                    </w:rPr>
                    <w:t>(A)</w:t>
                  </w:r>
                </w:p>
              </w:tc>
              <w:tc>
                <w:tcPr>
                  <w:tcW w:w="1162" w:type="dxa"/>
                  <w:vAlign w:val="center"/>
                </w:tcPr>
                <w:p>
                  <w:pPr>
                    <w:widowControl/>
                    <w:tabs>
                      <w:tab w:val="left" w:pos="1110"/>
                    </w:tabs>
                    <w:jc w:val="center"/>
                    <w:rPr>
                      <w:b/>
                      <w:snapToGrid w:val="0"/>
                      <w:kern w:val="0"/>
                      <w:szCs w:val="20"/>
                    </w:rPr>
                  </w:pPr>
                  <w:r>
                    <w:rPr>
                      <w:rFonts w:hint="eastAsia"/>
                      <w:b/>
                      <w:snapToGrid w:val="0"/>
                      <w:kern w:val="0"/>
                      <w:szCs w:val="20"/>
                    </w:rPr>
                    <w:t>是否达标</w:t>
                  </w:r>
                </w:p>
              </w:tc>
              <w:tc>
                <w:tcPr>
                  <w:tcW w:w="1147" w:type="dxa"/>
                  <w:vAlign w:val="center"/>
                </w:tcPr>
                <w:p>
                  <w:pPr>
                    <w:widowControl/>
                    <w:tabs>
                      <w:tab w:val="left" w:pos="1110"/>
                    </w:tabs>
                    <w:jc w:val="center"/>
                    <w:rPr>
                      <w:b/>
                      <w:snapToGrid w:val="0"/>
                      <w:kern w:val="0"/>
                      <w:szCs w:val="20"/>
                    </w:rPr>
                  </w:pPr>
                  <w:r>
                    <w:rPr>
                      <w:rFonts w:hint="eastAsia"/>
                      <w:b/>
                      <w:snapToGrid w:val="0"/>
                      <w:kern w:val="0"/>
                      <w:szCs w:val="20"/>
                    </w:rPr>
                    <w:t>标准限值dB</w:t>
                  </w:r>
                  <w:r>
                    <w:rPr>
                      <w:b/>
                      <w:bCs/>
                      <w:snapToGrid w:val="0"/>
                      <w:kern w:val="0"/>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1611" w:type="dxa"/>
                  <w:vAlign w:val="center"/>
                </w:tcPr>
                <w:p>
                  <w:pPr>
                    <w:widowControl/>
                    <w:tabs>
                      <w:tab w:val="left" w:pos="1110"/>
                    </w:tabs>
                    <w:jc w:val="center"/>
                    <w:rPr>
                      <w:snapToGrid w:val="0"/>
                      <w:kern w:val="0"/>
                      <w:szCs w:val="20"/>
                    </w:rPr>
                  </w:pPr>
                  <w:r>
                    <w:rPr>
                      <w:rFonts w:hint="eastAsia"/>
                      <w:snapToGrid w:val="0"/>
                      <w:kern w:val="0"/>
                      <w:szCs w:val="20"/>
                    </w:rPr>
                    <w:t>东</w:t>
                  </w:r>
                  <w:r>
                    <w:rPr>
                      <w:snapToGrid w:val="0"/>
                      <w:kern w:val="0"/>
                      <w:szCs w:val="20"/>
                    </w:rPr>
                    <w:t>厂界</w:t>
                  </w:r>
                </w:p>
              </w:tc>
              <w:tc>
                <w:tcPr>
                  <w:tcW w:w="1602" w:type="dxa"/>
                  <w:vMerge w:val="restart"/>
                  <w:vAlign w:val="center"/>
                </w:tcPr>
                <w:p>
                  <w:pPr>
                    <w:widowControl/>
                    <w:tabs>
                      <w:tab w:val="left" w:pos="1110"/>
                    </w:tabs>
                    <w:jc w:val="center"/>
                    <w:rPr>
                      <w:snapToGrid w:val="0"/>
                      <w:kern w:val="0"/>
                      <w:szCs w:val="20"/>
                    </w:rPr>
                  </w:pPr>
                  <w:r>
                    <w:rPr>
                      <w:rFonts w:hint="eastAsia"/>
                      <w:snapToGrid w:val="0"/>
                      <w:kern w:val="0"/>
                      <w:szCs w:val="20"/>
                    </w:rPr>
                    <w:t>70.37</w:t>
                  </w:r>
                </w:p>
              </w:tc>
              <w:tc>
                <w:tcPr>
                  <w:tcW w:w="1229" w:type="dxa"/>
                  <w:vAlign w:val="center"/>
                </w:tcPr>
                <w:p>
                  <w:pPr>
                    <w:widowControl/>
                    <w:tabs>
                      <w:tab w:val="left" w:pos="1110"/>
                    </w:tabs>
                    <w:jc w:val="center"/>
                    <w:rPr>
                      <w:snapToGrid w:val="0"/>
                      <w:kern w:val="0"/>
                      <w:szCs w:val="20"/>
                    </w:rPr>
                  </w:pPr>
                  <w:r>
                    <w:rPr>
                      <w:rFonts w:hint="eastAsia"/>
                      <w:snapToGrid w:val="0"/>
                      <w:kern w:val="0"/>
                      <w:szCs w:val="20"/>
                    </w:rPr>
                    <w:t>20</w:t>
                  </w:r>
                </w:p>
              </w:tc>
              <w:tc>
                <w:tcPr>
                  <w:tcW w:w="1185" w:type="dxa"/>
                  <w:vAlign w:val="center"/>
                </w:tcPr>
                <w:p>
                  <w:pPr>
                    <w:widowControl/>
                    <w:tabs>
                      <w:tab w:val="left" w:pos="1110"/>
                    </w:tabs>
                    <w:jc w:val="center"/>
                    <w:rPr>
                      <w:snapToGrid w:val="0"/>
                      <w:kern w:val="0"/>
                      <w:szCs w:val="20"/>
                    </w:rPr>
                  </w:pPr>
                  <w:r>
                    <w:rPr>
                      <w:rFonts w:hint="eastAsia"/>
                      <w:snapToGrid w:val="0"/>
                      <w:kern w:val="0"/>
                      <w:szCs w:val="20"/>
                    </w:rPr>
                    <w:t>44.34</w:t>
                  </w:r>
                </w:p>
              </w:tc>
              <w:tc>
                <w:tcPr>
                  <w:tcW w:w="1162" w:type="dxa"/>
                  <w:vAlign w:val="center"/>
                </w:tcPr>
                <w:p>
                  <w:pPr>
                    <w:widowControl/>
                    <w:tabs>
                      <w:tab w:val="left" w:pos="1110"/>
                    </w:tabs>
                    <w:jc w:val="center"/>
                    <w:rPr>
                      <w:snapToGrid w:val="0"/>
                      <w:kern w:val="0"/>
                      <w:szCs w:val="20"/>
                    </w:rPr>
                  </w:pPr>
                  <w:r>
                    <w:rPr>
                      <w:rFonts w:hint="eastAsia"/>
                      <w:snapToGrid w:val="0"/>
                      <w:kern w:val="0"/>
                      <w:szCs w:val="20"/>
                    </w:rPr>
                    <w:t>是</w:t>
                  </w:r>
                </w:p>
              </w:tc>
              <w:tc>
                <w:tcPr>
                  <w:tcW w:w="1147" w:type="dxa"/>
                  <w:vMerge w:val="restart"/>
                  <w:vAlign w:val="center"/>
                </w:tcPr>
                <w:p>
                  <w:pPr>
                    <w:widowControl/>
                    <w:tabs>
                      <w:tab w:val="left" w:pos="1110"/>
                    </w:tabs>
                    <w:jc w:val="center"/>
                    <w:rPr>
                      <w:snapToGrid w:val="0"/>
                      <w:kern w:val="0"/>
                      <w:szCs w:val="20"/>
                    </w:rPr>
                  </w:pPr>
                  <w:r>
                    <w:rPr>
                      <w:rFonts w:hint="eastAsia"/>
                      <w:snapToGrid w:val="0"/>
                      <w:kern w:val="0"/>
                      <w:szCs w:val="20"/>
                    </w:rPr>
                    <w:t>昼间65、夜间55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1611" w:type="dxa"/>
                  <w:vAlign w:val="center"/>
                </w:tcPr>
                <w:p>
                  <w:pPr>
                    <w:widowControl/>
                    <w:tabs>
                      <w:tab w:val="left" w:pos="1110"/>
                    </w:tabs>
                    <w:jc w:val="center"/>
                    <w:rPr>
                      <w:snapToGrid w:val="0"/>
                      <w:kern w:val="0"/>
                      <w:szCs w:val="20"/>
                    </w:rPr>
                  </w:pPr>
                  <w:r>
                    <w:rPr>
                      <w:rFonts w:hint="eastAsia"/>
                      <w:snapToGrid w:val="0"/>
                      <w:kern w:val="0"/>
                      <w:szCs w:val="20"/>
                    </w:rPr>
                    <w:t>南</w:t>
                  </w:r>
                  <w:r>
                    <w:rPr>
                      <w:snapToGrid w:val="0"/>
                      <w:kern w:val="0"/>
                      <w:szCs w:val="20"/>
                    </w:rPr>
                    <w:t>厂界</w:t>
                  </w:r>
                </w:p>
              </w:tc>
              <w:tc>
                <w:tcPr>
                  <w:tcW w:w="1602" w:type="dxa"/>
                  <w:vMerge w:val="continue"/>
                  <w:vAlign w:val="center"/>
                </w:tcPr>
                <w:p>
                  <w:pPr>
                    <w:widowControl/>
                    <w:tabs>
                      <w:tab w:val="left" w:pos="1110"/>
                    </w:tabs>
                    <w:jc w:val="center"/>
                    <w:rPr>
                      <w:snapToGrid w:val="0"/>
                      <w:kern w:val="0"/>
                      <w:szCs w:val="20"/>
                    </w:rPr>
                  </w:pPr>
                </w:p>
              </w:tc>
              <w:tc>
                <w:tcPr>
                  <w:tcW w:w="1229" w:type="dxa"/>
                  <w:vAlign w:val="center"/>
                </w:tcPr>
                <w:p>
                  <w:pPr>
                    <w:widowControl/>
                    <w:tabs>
                      <w:tab w:val="left" w:pos="1110"/>
                    </w:tabs>
                    <w:jc w:val="center"/>
                    <w:rPr>
                      <w:snapToGrid w:val="0"/>
                      <w:kern w:val="0"/>
                      <w:szCs w:val="20"/>
                    </w:rPr>
                  </w:pPr>
                  <w:r>
                    <w:rPr>
                      <w:rFonts w:hint="eastAsia"/>
                      <w:snapToGrid w:val="0"/>
                      <w:kern w:val="0"/>
                      <w:szCs w:val="20"/>
                    </w:rPr>
                    <w:t>80</w:t>
                  </w:r>
                </w:p>
              </w:tc>
              <w:tc>
                <w:tcPr>
                  <w:tcW w:w="1185" w:type="dxa"/>
                  <w:vAlign w:val="center"/>
                </w:tcPr>
                <w:p>
                  <w:pPr>
                    <w:widowControl/>
                    <w:tabs>
                      <w:tab w:val="left" w:pos="1110"/>
                    </w:tabs>
                    <w:jc w:val="center"/>
                    <w:rPr>
                      <w:snapToGrid w:val="0"/>
                      <w:kern w:val="0"/>
                      <w:szCs w:val="20"/>
                    </w:rPr>
                  </w:pPr>
                  <w:r>
                    <w:rPr>
                      <w:rFonts w:hint="eastAsia"/>
                      <w:snapToGrid w:val="0"/>
                      <w:kern w:val="0"/>
                      <w:szCs w:val="20"/>
                    </w:rPr>
                    <w:t>32.30</w:t>
                  </w:r>
                </w:p>
              </w:tc>
              <w:tc>
                <w:tcPr>
                  <w:tcW w:w="1162" w:type="dxa"/>
                  <w:vAlign w:val="center"/>
                </w:tcPr>
                <w:p>
                  <w:pPr>
                    <w:widowControl/>
                    <w:tabs>
                      <w:tab w:val="left" w:pos="1110"/>
                    </w:tabs>
                    <w:jc w:val="center"/>
                    <w:rPr>
                      <w:snapToGrid w:val="0"/>
                      <w:kern w:val="0"/>
                      <w:szCs w:val="20"/>
                    </w:rPr>
                  </w:pPr>
                  <w:r>
                    <w:rPr>
                      <w:rFonts w:hint="eastAsia"/>
                      <w:snapToGrid w:val="0"/>
                      <w:kern w:val="0"/>
                      <w:szCs w:val="20"/>
                    </w:rPr>
                    <w:t>是</w:t>
                  </w:r>
                </w:p>
              </w:tc>
              <w:tc>
                <w:tcPr>
                  <w:tcW w:w="1147" w:type="dxa"/>
                  <w:vMerge w:val="continue"/>
                  <w:vAlign w:val="center"/>
                </w:tcPr>
                <w:p>
                  <w:pPr>
                    <w:widowControl/>
                    <w:tabs>
                      <w:tab w:val="left" w:pos="1110"/>
                    </w:tabs>
                    <w:jc w:val="center"/>
                    <w:rPr>
                      <w:snapToGrid w:val="0"/>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1611" w:type="dxa"/>
                  <w:vAlign w:val="center"/>
                </w:tcPr>
                <w:p>
                  <w:pPr>
                    <w:widowControl/>
                    <w:tabs>
                      <w:tab w:val="left" w:pos="1110"/>
                    </w:tabs>
                    <w:jc w:val="center"/>
                    <w:rPr>
                      <w:snapToGrid w:val="0"/>
                      <w:kern w:val="0"/>
                      <w:szCs w:val="20"/>
                    </w:rPr>
                  </w:pPr>
                  <w:r>
                    <w:rPr>
                      <w:rFonts w:hint="eastAsia"/>
                      <w:snapToGrid w:val="0"/>
                      <w:kern w:val="0"/>
                      <w:szCs w:val="20"/>
                    </w:rPr>
                    <w:t>西厂界</w:t>
                  </w:r>
                </w:p>
              </w:tc>
              <w:tc>
                <w:tcPr>
                  <w:tcW w:w="1602" w:type="dxa"/>
                  <w:vMerge w:val="continue"/>
                  <w:vAlign w:val="center"/>
                </w:tcPr>
                <w:p>
                  <w:pPr>
                    <w:widowControl/>
                    <w:tabs>
                      <w:tab w:val="left" w:pos="1110"/>
                    </w:tabs>
                    <w:jc w:val="center"/>
                    <w:rPr>
                      <w:snapToGrid w:val="0"/>
                      <w:kern w:val="0"/>
                      <w:szCs w:val="20"/>
                    </w:rPr>
                  </w:pPr>
                </w:p>
              </w:tc>
              <w:tc>
                <w:tcPr>
                  <w:tcW w:w="1229" w:type="dxa"/>
                  <w:vAlign w:val="center"/>
                </w:tcPr>
                <w:p>
                  <w:pPr>
                    <w:widowControl/>
                    <w:tabs>
                      <w:tab w:val="left" w:pos="1110"/>
                    </w:tabs>
                    <w:jc w:val="center"/>
                    <w:rPr>
                      <w:snapToGrid w:val="0"/>
                      <w:kern w:val="0"/>
                      <w:szCs w:val="20"/>
                    </w:rPr>
                  </w:pPr>
                  <w:r>
                    <w:rPr>
                      <w:rFonts w:hint="eastAsia"/>
                      <w:snapToGrid w:val="0"/>
                      <w:kern w:val="0"/>
                      <w:szCs w:val="20"/>
                    </w:rPr>
                    <w:t>93</w:t>
                  </w:r>
                </w:p>
              </w:tc>
              <w:tc>
                <w:tcPr>
                  <w:tcW w:w="1185" w:type="dxa"/>
                  <w:vAlign w:val="center"/>
                </w:tcPr>
                <w:p>
                  <w:pPr>
                    <w:widowControl/>
                    <w:tabs>
                      <w:tab w:val="left" w:pos="1110"/>
                    </w:tabs>
                    <w:jc w:val="center"/>
                    <w:rPr>
                      <w:snapToGrid w:val="0"/>
                      <w:kern w:val="0"/>
                      <w:szCs w:val="20"/>
                    </w:rPr>
                  </w:pPr>
                  <w:r>
                    <w:rPr>
                      <w:rFonts w:hint="eastAsia"/>
                      <w:snapToGrid w:val="0"/>
                      <w:kern w:val="0"/>
                      <w:szCs w:val="20"/>
                    </w:rPr>
                    <w:t>31.00</w:t>
                  </w:r>
                </w:p>
              </w:tc>
              <w:tc>
                <w:tcPr>
                  <w:tcW w:w="1162" w:type="dxa"/>
                  <w:vAlign w:val="center"/>
                </w:tcPr>
                <w:p>
                  <w:pPr>
                    <w:widowControl/>
                    <w:tabs>
                      <w:tab w:val="left" w:pos="1110"/>
                    </w:tabs>
                    <w:jc w:val="center"/>
                    <w:rPr>
                      <w:snapToGrid w:val="0"/>
                      <w:kern w:val="0"/>
                      <w:szCs w:val="20"/>
                    </w:rPr>
                  </w:pPr>
                  <w:r>
                    <w:rPr>
                      <w:rFonts w:hint="eastAsia"/>
                      <w:snapToGrid w:val="0"/>
                      <w:kern w:val="0"/>
                      <w:szCs w:val="20"/>
                    </w:rPr>
                    <w:t>是</w:t>
                  </w:r>
                </w:p>
              </w:tc>
              <w:tc>
                <w:tcPr>
                  <w:tcW w:w="1147" w:type="dxa"/>
                  <w:vMerge w:val="continue"/>
                  <w:vAlign w:val="center"/>
                </w:tcPr>
                <w:p>
                  <w:pPr>
                    <w:widowControl/>
                    <w:tabs>
                      <w:tab w:val="left" w:pos="1110"/>
                    </w:tabs>
                    <w:jc w:val="center"/>
                    <w:rPr>
                      <w:snapToGrid w:val="0"/>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1611" w:type="dxa"/>
                  <w:vAlign w:val="center"/>
                </w:tcPr>
                <w:p>
                  <w:pPr>
                    <w:widowControl/>
                    <w:tabs>
                      <w:tab w:val="left" w:pos="1110"/>
                    </w:tabs>
                    <w:jc w:val="center"/>
                    <w:rPr>
                      <w:snapToGrid w:val="0"/>
                      <w:kern w:val="0"/>
                      <w:szCs w:val="20"/>
                    </w:rPr>
                  </w:pPr>
                  <w:r>
                    <w:rPr>
                      <w:rFonts w:hint="eastAsia"/>
                      <w:snapToGrid w:val="0"/>
                      <w:kern w:val="0"/>
                      <w:szCs w:val="20"/>
                    </w:rPr>
                    <w:t>北</w:t>
                  </w:r>
                  <w:r>
                    <w:rPr>
                      <w:snapToGrid w:val="0"/>
                      <w:kern w:val="0"/>
                      <w:szCs w:val="20"/>
                    </w:rPr>
                    <w:t>厂界</w:t>
                  </w:r>
                </w:p>
              </w:tc>
              <w:tc>
                <w:tcPr>
                  <w:tcW w:w="1602" w:type="dxa"/>
                  <w:vMerge w:val="continue"/>
                  <w:vAlign w:val="center"/>
                </w:tcPr>
                <w:p>
                  <w:pPr>
                    <w:widowControl/>
                    <w:tabs>
                      <w:tab w:val="left" w:pos="1110"/>
                    </w:tabs>
                    <w:jc w:val="center"/>
                    <w:rPr>
                      <w:snapToGrid w:val="0"/>
                      <w:kern w:val="0"/>
                      <w:szCs w:val="20"/>
                    </w:rPr>
                  </w:pPr>
                </w:p>
              </w:tc>
              <w:tc>
                <w:tcPr>
                  <w:tcW w:w="1229" w:type="dxa"/>
                  <w:vAlign w:val="center"/>
                </w:tcPr>
                <w:p>
                  <w:pPr>
                    <w:widowControl/>
                    <w:tabs>
                      <w:tab w:val="left" w:pos="1110"/>
                    </w:tabs>
                    <w:jc w:val="center"/>
                    <w:rPr>
                      <w:snapToGrid w:val="0"/>
                      <w:kern w:val="0"/>
                      <w:szCs w:val="20"/>
                    </w:rPr>
                  </w:pPr>
                  <w:r>
                    <w:rPr>
                      <w:rFonts w:hint="eastAsia"/>
                      <w:snapToGrid w:val="0"/>
                      <w:kern w:val="0"/>
                      <w:szCs w:val="20"/>
                    </w:rPr>
                    <w:t>68</w:t>
                  </w:r>
                </w:p>
              </w:tc>
              <w:tc>
                <w:tcPr>
                  <w:tcW w:w="1185" w:type="dxa"/>
                  <w:vAlign w:val="center"/>
                </w:tcPr>
                <w:p>
                  <w:pPr>
                    <w:widowControl/>
                    <w:tabs>
                      <w:tab w:val="left" w:pos="1110"/>
                    </w:tabs>
                    <w:jc w:val="center"/>
                    <w:rPr>
                      <w:snapToGrid w:val="0"/>
                      <w:kern w:val="0"/>
                      <w:szCs w:val="20"/>
                    </w:rPr>
                  </w:pPr>
                  <w:r>
                    <w:rPr>
                      <w:rFonts w:hint="eastAsia"/>
                      <w:snapToGrid w:val="0"/>
                      <w:kern w:val="0"/>
                      <w:szCs w:val="20"/>
                    </w:rPr>
                    <w:t>33.71</w:t>
                  </w:r>
                </w:p>
              </w:tc>
              <w:tc>
                <w:tcPr>
                  <w:tcW w:w="1162" w:type="dxa"/>
                  <w:vAlign w:val="center"/>
                </w:tcPr>
                <w:p>
                  <w:pPr>
                    <w:widowControl/>
                    <w:tabs>
                      <w:tab w:val="left" w:pos="1110"/>
                    </w:tabs>
                    <w:jc w:val="center"/>
                    <w:rPr>
                      <w:snapToGrid w:val="0"/>
                      <w:kern w:val="0"/>
                      <w:szCs w:val="20"/>
                    </w:rPr>
                  </w:pPr>
                  <w:r>
                    <w:rPr>
                      <w:rFonts w:hint="eastAsia"/>
                      <w:snapToGrid w:val="0"/>
                      <w:kern w:val="0"/>
                      <w:szCs w:val="20"/>
                    </w:rPr>
                    <w:t>是</w:t>
                  </w:r>
                </w:p>
              </w:tc>
              <w:tc>
                <w:tcPr>
                  <w:tcW w:w="1147" w:type="dxa"/>
                  <w:vMerge w:val="continue"/>
                  <w:vAlign w:val="center"/>
                </w:tcPr>
                <w:p>
                  <w:pPr>
                    <w:widowControl/>
                    <w:tabs>
                      <w:tab w:val="left" w:pos="1110"/>
                    </w:tabs>
                    <w:jc w:val="center"/>
                    <w:rPr>
                      <w:snapToGrid w:val="0"/>
                      <w:kern w:val="0"/>
                      <w:szCs w:val="20"/>
                    </w:rPr>
                  </w:pPr>
                </w:p>
              </w:tc>
            </w:tr>
          </w:tbl>
          <w:p>
            <w:pPr>
              <w:spacing w:line="520" w:lineRule="exact"/>
              <w:ind w:firstLine="480" w:firstLineChars="200"/>
              <w:rPr>
                <w:sz w:val="24"/>
              </w:rPr>
            </w:pPr>
            <w:r>
              <w:rPr>
                <w:rFonts w:hint="eastAsia"/>
                <w:sz w:val="24"/>
              </w:rPr>
              <w:t>由上表可知，本</w:t>
            </w:r>
            <w:r>
              <w:rPr>
                <w:sz w:val="24"/>
              </w:rPr>
              <w:t>项目在厂界</w:t>
            </w:r>
            <w:r>
              <w:rPr>
                <w:rFonts w:hint="eastAsia"/>
                <w:sz w:val="24"/>
              </w:rPr>
              <w:t>的</w:t>
            </w:r>
            <w:r>
              <w:rPr>
                <w:sz w:val="24"/>
              </w:rPr>
              <w:t>噪声</w:t>
            </w:r>
            <w:r>
              <w:rPr>
                <w:rFonts w:hint="eastAsia"/>
                <w:sz w:val="24"/>
              </w:rPr>
              <w:t>贡献值</w:t>
            </w:r>
            <w:r>
              <w:rPr>
                <w:sz w:val="24"/>
              </w:rPr>
              <w:t>均能满足《工业企业厂界环境噪声排放标准》（GB12348-2008）中的</w:t>
            </w:r>
            <w:r>
              <w:rPr>
                <w:rFonts w:hint="eastAsia"/>
                <w:sz w:val="24"/>
              </w:rPr>
              <w:t>3</w:t>
            </w:r>
            <w:r>
              <w:rPr>
                <w:sz w:val="24"/>
              </w:rPr>
              <w:t>类标准</w:t>
            </w:r>
            <w:r>
              <w:rPr>
                <w:rFonts w:hint="eastAsia"/>
                <w:sz w:val="24"/>
              </w:rPr>
              <w:t>要求。</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3.3 噪声自行监测计划</w:t>
            </w:r>
          </w:p>
          <w:p>
            <w:pPr>
              <w:spacing w:line="360" w:lineRule="auto"/>
              <w:ind w:firstLine="482" w:firstLineChars="200"/>
              <w:rPr>
                <w:b/>
                <w:bCs/>
                <w:snapToGrid w:val="0"/>
                <w:kern w:val="0"/>
                <w:sz w:val="24"/>
                <w:u w:val="single"/>
              </w:rPr>
            </w:pPr>
            <w:r>
              <w:rPr>
                <w:rFonts w:hint="eastAsia"/>
                <w:b/>
                <w:bCs/>
                <w:snapToGrid w:val="0"/>
                <w:kern w:val="0"/>
                <w:sz w:val="24"/>
                <w:u w:val="single"/>
              </w:rPr>
              <w:t>根据本项目运营期产污特点，制定自行监测计划见表如下：</w:t>
            </w:r>
          </w:p>
          <w:p>
            <w:pPr>
              <w:pStyle w:val="44"/>
              <w:spacing w:line="360" w:lineRule="auto"/>
              <w:rPr>
                <w:rFonts w:eastAsia="宋体"/>
                <w:b/>
                <w:bCs/>
                <w:sz w:val="24"/>
                <w:szCs w:val="24"/>
                <w:u w:val="single"/>
              </w:rPr>
            </w:pPr>
            <w:r>
              <w:rPr>
                <w:rFonts w:hint="eastAsia" w:eastAsia="宋体"/>
                <w:b/>
                <w:bCs/>
                <w:sz w:val="24"/>
                <w:szCs w:val="24"/>
                <w:u w:val="single"/>
              </w:rPr>
              <w:t>表4-1</w:t>
            </w:r>
            <w:r>
              <w:rPr>
                <w:rFonts w:hint="eastAsia" w:eastAsia="宋体"/>
                <w:b/>
                <w:bCs/>
                <w:sz w:val="24"/>
                <w:szCs w:val="24"/>
                <w:u w:val="single"/>
                <w:lang w:val="en-US" w:eastAsia="zh-CN"/>
              </w:rPr>
              <w:t>7</w:t>
            </w:r>
            <w:r>
              <w:rPr>
                <w:rFonts w:hint="eastAsia" w:eastAsia="宋体"/>
                <w:b/>
                <w:bCs/>
                <w:sz w:val="24"/>
                <w:szCs w:val="24"/>
                <w:u w:val="single"/>
              </w:rPr>
              <w:t xml:space="preserve">    噪声监测计划</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
            <w:tblGrid>
              <w:gridCol w:w="721"/>
              <w:gridCol w:w="1630"/>
              <w:gridCol w:w="1130"/>
              <w:gridCol w:w="3430"/>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trHeight w:val="124" w:hRule="atLeast"/>
              </w:trPr>
              <w:tc>
                <w:tcPr>
                  <w:tcW w:w="721" w:type="dxa"/>
                  <w:tcBorders>
                    <w:tl2br w:val="nil"/>
                    <w:tr2bl w:val="nil"/>
                  </w:tcBorders>
                  <w:vAlign w:val="center"/>
                </w:tcPr>
                <w:p>
                  <w:pPr>
                    <w:jc w:val="center"/>
                    <w:rPr>
                      <w:b/>
                      <w:bCs/>
                      <w:szCs w:val="21"/>
                    </w:rPr>
                  </w:pPr>
                  <w:r>
                    <w:rPr>
                      <w:b/>
                      <w:bCs/>
                      <w:szCs w:val="21"/>
                    </w:rPr>
                    <w:t>类别</w:t>
                  </w:r>
                </w:p>
              </w:tc>
              <w:tc>
                <w:tcPr>
                  <w:tcW w:w="1630" w:type="dxa"/>
                  <w:tcBorders>
                    <w:tl2br w:val="nil"/>
                    <w:tr2bl w:val="nil"/>
                  </w:tcBorders>
                  <w:vAlign w:val="center"/>
                </w:tcPr>
                <w:p>
                  <w:pPr>
                    <w:jc w:val="center"/>
                    <w:rPr>
                      <w:b/>
                      <w:bCs/>
                      <w:szCs w:val="21"/>
                    </w:rPr>
                  </w:pPr>
                  <w:r>
                    <w:rPr>
                      <w:b/>
                      <w:bCs/>
                    </w:rPr>
                    <w:t>点位布设</w:t>
                  </w:r>
                </w:p>
              </w:tc>
              <w:tc>
                <w:tcPr>
                  <w:tcW w:w="1130" w:type="dxa"/>
                  <w:tcBorders>
                    <w:tl2br w:val="nil"/>
                    <w:tr2bl w:val="nil"/>
                  </w:tcBorders>
                  <w:vAlign w:val="center"/>
                </w:tcPr>
                <w:p>
                  <w:pPr>
                    <w:jc w:val="center"/>
                    <w:rPr>
                      <w:b/>
                      <w:bCs/>
                      <w:szCs w:val="21"/>
                    </w:rPr>
                  </w:pPr>
                  <w:r>
                    <w:rPr>
                      <w:rFonts w:hint="eastAsia"/>
                      <w:b/>
                      <w:bCs/>
                      <w:szCs w:val="21"/>
                    </w:rPr>
                    <w:t>监测</w:t>
                  </w:r>
                  <w:r>
                    <w:rPr>
                      <w:b/>
                      <w:bCs/>
                      <w:szCs w:val="21"/>
                    </w:rPr>
                    <w:t>项目</w:t>
                  </w:r>
                </w:p>
              </w:tc>
              <w:tc>
                <w:tcPr>
                  <w:tcW w:w="3430" w:type="dxa"/>
                  <w:tcBorders>
                    <w:tl2br w:val="nil"/>
                    <w:tr2bl w:val="nil"/>
                  </w:tcBorders>
                  <w:vAlign w:val="center"/>
                </w:tcPr>
                <w:p>
                  <w:pPr>
                    <w:jc w:val="center"/>
                    <w:rPr>
                      <w:b/>
                      <w:bCs/>
                    </w:rPr>
                  </w:pPr>
                  <w:r>
                    <w:rPr>
                      <w:b/>
                      <w:bCs/>
                    </w:rPr>
                    <w:t>监测方法及依据</w:t>
                  </w:r>
                </w:p>
              </w:tc>
              <w:tc>
                <w:tcPr>
                  <w:tcW w:w="1025" w:type="dxa"/>
                  <w:tcBorders>
                    <w:tl2br w:val="nil"/>
                    <w:tr2bl w:val="nil"/>
                  </w:tcBorders>
                  <w:vAlign w:val="center"/>
                </w:tcPr>
                <w:p>
                  <w:pPr>
                    <w:jc w:val="center"/>
                    <w:rPr>
                      <w:b/>
                      <w:bCs/>
                    </w:rPr>
                  </w:pPr>
                  <w:r>
                    <w:rPr>
                      <w:b/>
                      <w:bCs/>
                    </w:rPr>
                    <w:t>监测频率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28" w:type="dxa"/>
                  <w:bottom w:w="57" w:type="dxa"/>
                  <w:right w:w="28" w:type="dxa"/>
                </w:tblCellMar>
              </w:tblPrEx>
              <w:trPr>
                <w:trHeight w:val="124" w:hRule="atLeast"/>
              </w:trPr>
              <w:tc>
                <w:tcPr>
                  <w:tcW w:w="721" w:type="dxa"/>
                  <w:tcBorders>
                    <w:tl2br w:val="nil"/>
                    <w:tr2bl w:val="nil"/>
                  </w:tcBorders>
                  <w:vAlign w:val="center"/>
                </w:tcPr>
                <w:p>
                  <w:pPr>
                    <w:pStyle w:val="8"/>
                    <w:spacing w:before="0" w:after="0" w:line="240" w:lineRule="auto"/>
                    <w:ind w:right="0"/>
                    <w:jc w:val="center"/>
                    <w:rPr>
                      <w:sz w:val="21"/>
                      <w:szCs w:val="21"/>
                    </w:rPr>
                  </w:pPr>
                  <w:r>
                    <w:rPr>
                      <w:rFonts w:hint="eastAsia"/>
                      <w:sz w:val="21"/>
                      <w:szCs w:val="21"/>
                    </w:rPr>
                    <w:t>噪声</w:t>
                  </w:r>
                </w:p>
              </w:tc>
              <w:tc>
                <w:tcPr>
                  <w:tcW w:w="1630" w:type="dxa"/>
                  <w:tcBorders>
                    <w:tl2br w:val="nil"/>
                    <w:tr2bl w:val="nil"/>
                  </w:tcBorders>
                  <w:vAlign w:val="center"/>
                </w:tcPr>
                <w:p>
                  <w:pPr>
                    <w:adjustRightInd w:val="0"/>
                    <w:snapToGrid w:val="0"/>
                    <w:jc w:val="center"/>
                    <w:rPr>
                      <w:kern w:val="0"/>
                      <w:szCs w:val="21"/>
                    </w:rPr>
                  </w:pPr>
                  <w:r>
                    <w:rPr>
                      <w:rFonts w:hint="eastAsia"/>
                      <w:kern w:val="0"/>
                      <w:szCs w:val="21"/>
                    </w:rPr>
                    <w:t>东、南、西、北</w:t>
                  </w:r>
                  <w:r>
                    <w:t>四周</w:t>
                  </w:r>
                  <w:r>
                    <w:rPr>
                      <w:rFonts w:hint="eastAsia"/>
                    </w:rPr>
                    <w:t>边界</w:t>
                  </w:r>
                </w:p>
              </w:tc>
              <w:tc>
                <w:tcPr>
                  <w:tcW w:w="1130" w:type="dxa"/>
                  <w:tcBorders>
                    <w:tl2br w:val="nil"/>
                    <w:tr2bl w:val="nil"/>
                  </w:tcBorders>
                  <w:vAlign w:val="center"/>
                </w:tcPr>
                <w:p>
                  <w:pPr>
                    <w:adjustRightInd w:val="0"/>
                    <w:snapToGrid w:val="0"/>
                    <w:jc w:val="center"/>
                    <w:rPr>
                      <w:kern w:val="0"/>
                      <w:szCs w:val="21"/>
                    </w:rPr>
                  </w:pPr>
                  <w:r>
                    <w:t>Leq(A)</w:t>
                  </w:r>
                </w:p>
              </w:tc>
              <w:tc>
                <w:tcPr>
                  <w:tcW w:w="3430" w:type="dxa"/>
                  <w:tcBorders>
                    <w:tl2br w:val="nil"/>
                    <w:tr2bl w:val="nil"/>
                  </w:tcBorders>
                  <w:vAlign w:val="center"/>
                </w:tcPr>
                <w:p>
                  <w:pPr>
                    <w:adjustRightInd w:val="0"/>
                    <w:snapToGrid w:val="0"/>
                    <w:jc w:val="center"/>
                  </w:pPr>
                  <w:r>
                    <w:t>《工业企业厂界环境噪声排放标准》</w:t>
                  </w:r>
                </w:p>
                <w:p>
                  <w:pPr>
                    <w:adjustRightInd w:val="0"/>
                    <w:snapToGrid w:val="0"/>
                    <w:jc w:val="center"/>
                  </w:pPr>
                  <w:r>
                    <w:rPr>
                      <w:rFonts w:hint="eastAsia"/>
                    </w:rPr>
                    <w:t>（</w:t>
                  </w:r>
                  <w:r>
                    <w:t>GB12348-2008</w:t>
                  </w:r>
                  <w:r>
                    <w:rPr>
                      <w:rFonts w:hint="eastAsia"/>
                    </w:rPr>
                    <w:t>）</w:t>
                  </w:r>
                </w:p>
              </w:tc>
              <w:tc>
                <w:tcPr>
                  <w:tcW w:w="1025" w:type="dxa"/>
                  <w:tcBorders>
                    <w:tl2br w:val="nil"/>
                    <w:tr2bl w:val="nil"/>
                  </w:tcBorders>
                  <w:vAlign w:val="center"/>
                </w:tcPr>
                <w:p>
                  <w:pPr>
                    <w:pStyle w:val="56"/>
                    <w:spacing w:line="240" w:lineRule="auto"/>
                    <w:jc w:val="center"/>
                    <w:textAlignment w:val="baseline"/>
                    <w:rPr>
                      <w:rFonts w:ascii="Times New Roman" w:eastAsia="宋体"/>
                      <w:sz w:val="21"/>
                    </w:rPr>
                  </w:pPr>
                  <w:r>
                    <w:rPr>
                      <w:rFonts w:ascii="Times New Roman" w:eastAsia="宋体"/>
                      <w:sz w:val="21"/>
                      <w:szCs w:val="21"/>
                    </w:rPr>
                    <w:t>1</w:t>
                  </w:r>
                  <w:r>
                    <w:rPr>
                      <w:rFonts w:hint="eastAsia" w:ascii="Times New Roman" w:eastAsia="宋体"/>
                      <w:sz w:val="21"/>
                      <w:szCs w:val="21"/>
                    </w:rPr>
                    <w:t>次</w:t>
                  </w:r>
                  <w:r>
                    <w:rPr>
                      <w:rFonts w:ascii="Times New Roman" w:eastAsia="宋体"/>
                      <w:sz w:val="21"/>
                      <w:szCs w:val="21"/>
                    </w:rPr>
                    <w:t>/</w:t>
                  </w:r>
                  <w:r>
                    <w:rPr>
                      <w:rFonts w:hint="eastAsia" w:ascii="Times New Roman" w:eastAsia="宋体"/>
                      <w:sz w:val="21"/>
                      <w:szCs w:val="21"/>
                    </w:rPr>
                    <w:t>季</w:t>
                  </w:r>
                </w:p>
              </w:tc>
            </w:tr>
          </w:tbl>
          <w:p>
            <w:pPr>
              <w:adjustRightInd w:val="0"/>
              <w:snapToGrid w:val="0"/>
              <w:spacing w:line="360" w:lineRule="auto"/>
              <w:ind w:firstLine="482" w:firstLineChars="200"/>
              <w:jc w:val="left"/>
              <w:rPr>
                <w:b/>
                <w:snapToGrid w:val="0"/>
                <w:kern w:val="0"/>
                <w:sz w:val="24"/>
              </w:rPr>
            </w:pPr>
            <w:r>
              <w:rPr>
                <w:rFonts w:hint="eastAsia"/>
                <w:b/>
                <w:snapToGrid w:val="0"/>
                <w:kern w:val="0"/>
                <w:sz w:val="24"/>
              </w:rPr>
              <w:t xml:space="preserve">4 </w:t>
            </w:r>
            <w:r>
              <w:rPr>
                <w:b/>
                <w:snapToGrid w:val="0"/>
                <w:kern w:val="0"/>
                <w:sz w:val="24"/>
              </w:rPr>
              <w:t>固废</w:t>
            </w:r>
          </w:p>
          <w:p>
            <w:pPr>
              <w:adjustRightInd w:val="0"/>
              <w:snapToGrid w:val="0"/>
              <w:spacing w:line="360" w:lineRule="auto"/>
              <w:ind w:firstLine="482" w:firstLineChars="200"/>
              <w:jc w:val="left"/>
              <w:rPr>
                <w:b/>
                <w:snapToGrid w:val="0"/>
                <w:kern w:val="0"/>
                <w:sz w:val="24"/>
              </w:rPr>
            </w:pPr>
            <w:r>
              <w:rPr>
                <w:rFonts w:hint="eastAsia"/>
                <w:b/>
                <w:snapToGrid w:val="0"/>
                <w:kern w:val="0"/>
                <w:sz w:val="24"/>
              </w:rPr>
              <w:t>4.1 固废产生情况</w:t>
            </w:r>
          </w:p>
          <w:p>
            <w:pPr>
              <w:spacing w:line="360" w:lineRule="auto"/>
              <w:ind w:firstLine="480" w:firstLineChars="200"/>
              <w:rPr>
                <w:snapToGrid w:val="0"/>
                <w:kern w:val="0"/>
                <w:sz w:val="24"/>
              </w:rPr>
            </w:pPr>
            <w:r>
              <w:rPr>
                <w:rFonts w:hint="eastAsia"/>
                <w:snapToGrid w:val="0"/>
                <w:kern w:val="0"/>
                <w:sz w:val="24"/>
              </w:rPr>
              <w:t>本项目产生的固体废物主要包括袋式除尘器收集粉尘、压</w:t>
            </w:r>
            <w:r>
              <w:rPr>
                <w:rFonts w:hint="eastAsia"/>
                <w:snapToGrid w:val="0"/>
                <w:kern w:val="0"/>
                <w:sz w:val="24"/>
                <w:lang w:val="en-US" w:eastAsia="zh-CN"/>
              </w:rPr>
              <w:t>滤</w:t>
            </w:r>
            <w:r>
              <w:rPr>
                <w:rFonts w:hint="eastAsia"/>
                <w:snapToGrid w:val="0"/>
                <w:kern w:val="0"/>
                <w:sz w:val="24"/>
              </w:rPr>
              <w:t>料、废矿物油以及生活垃圾。</w:t>
            </w:r>
          </w:p>
          <w:p>
            <w:pPr>
              <w:spacing w:line="360" w:lineRule="auto"/>
              <w:ind w:firstLine="480" w:firstLineChars="200"/>
              <w:rPr>
                <w:snapToGrid w:val="0"/>
                <w:kern w:val="0"/>
                <w:sz w:val="24"/>
              </w:rPr>
            </w:pPr>
            <w:r>
              <w:rPr>
                <w:rFonts w:hint="eastAsia"/>
                <w:snapToGrid w:val="0"/>
                <w:kern w:val="0"/>
                <w:sz w:val="24"/>
              </w:rPr>
              <w:t>4.1.1一般固废</w:t>
            </w:r>
          </w:p>
          <w:p>
            <w:pPr>
              <w:spacing w:line="360" w:lineRule="auto"/>
              <w:ind w:firstLine="480" w:firstLineChars="200"/>
              <w:rPr>
                <w:snapToGrid w:val="0"/>
                <w:kern w:val="0"/>
                <w:sz w:val="24"/>
              </w:rPr>
            </w:pPr>
            <w:r>
              <w:rPr>
                <w:rFonts w:hint="eastAsia"/>
                <w:snapToGrid w:val="0"/>
                <w:kern w:val="0"/>
                <w:sz w:val="24"/>
              </w:rPr>
              <w:t>（1）袋式除尘器收集粉尘</w:t>
            </w:r>
          </w:p>
          <w:p>
            <w:pPr>
              <w:spacing w:line="360" w:lineRule="auto"/>
              <w:ind w:firstLine="480" w:firstLineChars="200"/>
              <w:rPr>
                <w:snapToGrid w:val="0"/>
                <w:kern w:val="0"/>
                <w:sz w:val="24"/>
              </w:rPr>
            </w:pPr>
            <w:r>
              <w:rPr>
                <w:rFonts w:hint="eastAsia"/>
                <w:snapToGrid w:val="0"/>
                <w:kern w:val="0"/>
                <w:sz w:val="24"/>
              </w:rPr>
              <w:t>本项目生产过程中产生的颗粒物使用袋式除尘器进行收集处理，根据物料平衡，袋式除尘器收尘量为</w:t>
            </w:r>
            <w:r>
              <w:rPr>
                <w:rFonts w:hint="eastAsia"/>
                <w:snapToGrid w:val="0"/>
                <w:kern w:val="0"/>
                <w:sz w:val="24"/>
                <w:lang w:val="en-US" w:eastAsia="zh-CN"/>
              </w:rPr>
              <w:t>75.5</w:t>
            </w:r>
            <w:r>
              <w:rPr>
                <w:rFonts w:hint="eastAsia"/>
                <w:snapToGrid w:val="0"/>
                <w:kern w:val="0"/>
                <w:sz w:val="24"/>
              </w:rPr>
              <w:t>t/a，主要成分为颗粒物，属于一般固废，经收集后作为产品外售。</w:t>
            </w:r>
          </w:p>
          <w:p>
            <w:pPr>
              <w:spacing w:line="360" w:lineRule="auto"/>
              <w:ind w:firstLine="480" w:firstLineChars="200"/>
              <w:rPr>
                <w:snapToGrid w:val="0"/>
                <w:kern w:val="0"/>
                <w:sz w:val="24"/>
              </w:rPr>
            </w:pPr>
            <w:r>
              <w:rPr>
                <w:rFonts w:hint="eastAsia"/>
                <w:snapToGrid w:val="0"/>
                <w:kern w:val="0"/>
                <w:sz w:val="24"/>
              </w:rPr>
              <w:t>（2）压</w:t>
            </w:r>
            <w:r>
              <w:rPr>
                <w:rFonts w:hint="eastAsia"/>
                <w:snapToGrid w:val="0"/>
                <w:kern w:val="0"/>
                <w:sz w:val="24"/>
                <w:lang w:val="en-US" w:eastAsia="zh-CN"/>
              </w:rPr>
              <w:t>滤</w:t>
            </w:r>
            <w:r>
              <w:rPr>
                <w:rFonts w:hint="eastAsia"/>
                <w:snapToGrid w:val="0"/>
                <w:kern w:val="0"/>
                <w:sz w:val="24"/>
              </w:rPr>
              <w:t>料</w:t>
            </w:r>
          </w:p>
          <w:p>
            <w:pPr>
              <w:spacing w:line="360" w:lineRule="auto"/>
              <w:ind w:firstLine="480" w:firstLineChars="200"/>
              <w:rPr>
                <w:snapToGrid w:val="0"/>
                <w:kern w:val="0"/>
                <w:sz w:val="24"/>
              </w:rPr>
            </w:pPr>
            <w:r>
              <w:rPr>
                <w:rFonts w:hint="eastAsia"/>
                <w:snapToGrid w:val="0"/>
                <w:kern w:val="0"/>
                <w:sz w:val="24"/>
              </w:rPr>
              <w:t>1#浓缩罐的浓缩液使用板框压</w:t>
            </w:r>
            <w:r>
              <w:rPr>
                <w:rFonts w:hint="eastAsia"/>
                <w:snapToGrid w:val="0"/>
                <w:kern w:val="0"/>
                <w:sz w:val="24"/>
                <w:lang w:val="en-US" w:eastAsia="zh-CN"/>
              </w:rPr>
              <w:t>滤</w:t>
            </w:r>
            <w:r>
              <w:rPr>
                <w:rFonts w:hint="eastAsia"/>
                <w:snapToGrid w:val="0"/>
                <w:kern w:val="0"/>
                <w:sz w:val="24"/>
              </w:rPr>
              <w:t>机进行压滤，经压滤后压</w:t>
            </w:r>
            <w:r>
              <w:rPr>
                <w:rFonts w:hint="eastAsia"/>
                <w:snapToGrid w:val="0"/>
                <w:kern w:val="0"/>
                <w:sz w:val="24"/>
                <w:lang w:val="en-US" w:eastAsia="zh-CN"/>
              </w:rPr>
              <w:t>滤</w:t>
            </w:r>
            <w:r>
              <w:rPr>
                <w:rFonts w:hint="eastAsia"/>
                <w:snapToGrid w:val="0"/>
                <w:kern w:val="0"/>
                <w:sz w:val="24"/>
              </w:rPr>
              <w:t>料的含水率为</w:t>
            </w:r>
            <w:r>
              <w:rPr>
                <w:rFonts w:hint="eastAsia"/>
                <w:snapToGrid w:val="0"/>
                <w:kern w:val="0"/>
                <w:sz w:val="24"/>
                <w:lang w:val="en-US" w:eastAsia="zh-CN"/>
              </w:rPr>
              <w:t>28</w:t>
            </w:r>
            <w:r>
              <w:rPr>
                <w:rFonts w:hint="eastAsia"/>
                <w:snapToGrid w:val="0"/>
                <w:kern w:val="0"/>
                <w:sz w:val="24"/>
              </w:rPr>
              <w:t>%，产生量为</w:t>
            </w:r>
            <w:r>
              <w:rPr>
                <w:rFonts w:hint="eastAsia"/>
                <w:snapToGrid w:val="0"/>
                <w:kern w:val="0"/>
                <w:sz w:val="24"/>
                <w:lang w:val="en-US" w:eastAsia="zh-CN"/>
              </w:rPr>
              <w:t>14484.92</w:t>
            </w:r>
            <w:r>
              <w:rPr>
                <w:rFonts w:hint="eastAsia"/>
                <w:snapToGrid w:val="0"/>
                <w:kern w:val="0"/>
                <w:sz w:val="24"/>
              </w:rPr>
              <w:t>t/a（干基），</w:t>
            </w:r>
            <w:r>
              <w:rPr>
                <w:rFonts w:hint="eastAsia"/>
                <w:snapToGrid w:val="0"/>
                <w:kern w:val="0"/>
                <w:sz w:val="24"/>
                <w:lang w:val="en-US" w:eastAsia="zh-CN"/>
              </w:rPr>
              <w:t>20117.94</w:t>
            </w:r>
            <w:r>
              <w:rPr>
                <w:rFonts w:hint="eastAsia"/>
                <w:snapToGrid w:val="0"/>
                <w:kern w:val="0"/>
                <w:sz w:val="24"/>
              </w:rPr>
              <w:t>t/a（湿基）。在压</w:t>
            </w:r>
            <w:r>
              <w:rPr>
                <w:rFonts w:hint="eastAsia"/>
                <w:snapToGrid w:val="0"/>
                <w:kern w:val="0"/>
                <w:sz w:val="24"/>
                <w:lang w:val="en-US" w:eastAsia="zh-CN"/>
              </w:rPr>
              <w:t>滤</w:t>
            </w:r>
            <w:r>
              <w:rPr>
                <w:rFonts w:hint="eastAsia"/>
                <w:snapToGrid w:val="0"/>
                <w:kern w:val="0"/>
                <w:sz w:val="24"/>
              </w:rPr>
              <w:t>料库内暂存，定期外售给陶瓷生产厂家。</w:t>
            </w:r>
          </w:p>
          <w:p>
            <w:pPr>
              <w:spacing w:line="360" w:lineRule="auto"/>
              <w:ind w:firstLine="480" w:firstLineChars="200"/>
              <w:rPr>
                <w:snapToGrid w:val="0"/>
                <w:kern w:val="0"/>
                <w:sz w:val="24"/>
              </w:rPr>
            </w:pPr>
            <w:r>
              <w:rPr>
                <w:rFonts w:hint="eastAsia"/>
                <w:snapToGrid w:val="0"/>
                <w:kern w:val="0"/>
                <w:sz w:val="24"/>
              </w:rPr>
              <w:t>4.1.2危险废物</w:t>
            </w:r>
          </w:p>
          <w:p>
            <w:pPr>
              <w:spacing w:line="360" w:lineRule="auto"/>
              <w:ind w:firstLine="480" w:firstLineChars="200"/>
              <w:contextualSpacing/>
              <w:textAlignment w:val="baseline"/>
              <w:rPr>
                <w:color w:val="000000"/>
                <w:sz w:val="24"/>
              </w:rPr>
            </w:pPr>
            <w:r>
              <w:rPr>
                <w:rFonts w:hint="eastAsia"/>
                <w:snapToGrid w:val="0"/>
                <w:kern w:val="0"/>
                <w:sz w:val="24"/>
              </w:rPr>
              <w:t>本项目</w:t>
            </w:r>
            <w:r>
              <w:rPr>
                <w:snapToGrid w:val="0"/>
                <w:kern w:val="0"/>
                <w:sz w:val="24"/>
              </w:rPr>
              <w:t>危险废物主要为球磨机、除铁机、压滤机轴承定期更换的废机油、废润滑油等，机油和润滑油在经过一段时间之后，就必须更换。根据厂家提供数据，设备润滑油更换每1~2年更换一次。根据设备润滑保养手册，项目扩建工程机油、润滑油更换量为250kg/a。</w:t>
            </w:r>
            <w:r>
              <w:rPr>
                <w:rFonts w:hint="eastAsia"/>
                <w:color w:val="000000"/>
                <w:sz w:val="24"/>
              </w:rPr>
              <w:t>经查阅《国家危险废物名录》（2021年），</w:t>
            </w:r>
            <w:r>
              <w:rPr>
                <w:snapToGrid w:val="0"/>
                <w:kern w:val="0"/>
                <w:sz w:val="24"/>
              </w:rPr>
              <w:t>废机油、废润滑油均属于危险废物中</w:t>
            </w:r>
            <w:r>
              <w:rPr>
                <w:rFonts w:hint="eastAsia"/>
                <w:snapToGrid w:val="0"/>
                <w:kern w:val="0"/>
                <w:sz w:val="24"/>
              </w:rPr>
              <w:t>“</w:t>
            </w:r>
            <w:r>
              <w:rPr>
                <w:snapToGrid w:val="0"/>
                <w:kern w:val="0"/>
                <w:sz w:val="24"/>
              </w:rPr>
              <w:t>HW08废矿物油</w:t>
            </w:r>
            <w:r>
              <w:rPr>
                <w:rFonts w:hint="eastAsia"/>
                <w:snapToGrid w:val="0"/>
                <w:kern w:val="0"/>
                <w:sz w:val="24"/>
              </w:rPr>
              <w:t>与含矿物油废物”</w:t>
            </w:r>
            <w:r>
              <w:rPr>
                <w:snapToGrid w:val="0"/>
                <w:kern w:val="0"/>
                <w:sz w:val="24"/>
              </w:rPr>
              <w:t>，</w:t>
            </w:r>
            <w:r>
              <w:rPr>
                <w:rFonts w:hint="eastAsia"/>
                <w:color w:val="000000"/>
                <w:kern w:val="0"/>
                <w:sz w:val="24"/>
              </w:rPr>
              <w:t>评价建议，</w:t>
            </w:r>
            <w:r>
              <w:rPr>
                <w:color w:val="000000"/>
                <w:kern w:val="0"/>
                <w:sz w:val="24"/>
              </w:rPr>
              <w:t>设置</w:t>
            </w:r>
            <w:r>
              <w:rPr>
                <w:color w:val="000000"/>
                <w:sz w:val="24"/>
              </w:rPr>
              <w:t>一间</w:t>
            </w:r>
            <w:r>
              <w:rPr>
                <w:rFonts w:hint="eastAsia"/>
                <w:color w:val="000000"/>
                <w:sz w:val="24"/>
              </w:rPr>
              <w:t>10</w:t>
            </w:r>
            <w:r>
              <w:rPr>
                <w:color w:val="000000"/>
                <w:sz w:val="24"/>
              </w:rPr>
              <w:t>m</w:t>
            </w:r>
            <w:r>
              <w:rPr>
                <w:color w:val="000000"/>
                <w:sz w:val="24"/>
                <w:vertAlign w:val="superscript"/>
              </w:rPr>
              <w:t>2</w:t>
            </w:r>
            <w:r>
              <w:rPr>
                <w:color w:val="000000"/>
                <w:sz w:val="24"/>
              </w:rPr>
              <w:t>的危废暂存间及若干危险废物收集桶，用于暂存本项目危险废物。</w:t>
            </w:r>
          </w:p>
          <w:p>
            <w:pPr>
              <w:spacing w:line="360" w:lineRule="auto"/>
              <w:ind w:firstLine="480" w:firstLineChars="200"/>
              <w:contextualSpacing/>
              <w:rPr>
                <w:color w:val="000000"/>
                <w:sz w:val="24"/>
              </w:rPr>
            </w:pPr>
            <w:r>
              <w:rPr>
                <w:color w:val="000000"/>
                <w:sz w:val="24"/>
              </w:rPr>
              <w:t>本次环评要求建设单位按照以下要求处置危险废物：</w:t>
            </w:r>
          </w:p>
          <w:p>
            <w:pPr>
              <w:spacing w:line="360" w:lineRule="auto"/>
              <w:ind w:firstLine="480" w:firstLineChars="200"/>
              <w:contextualSpacing/>
              <w:rPr>
                <w:bCs/>
                <w:color w:val="000000"/>
                <w:sz w:val="24"/>
              </w:rPr>
            </w:pPr>
            <w:r>
              <w:rPr>
                <w:rFonts w:hint="eastAsia"/>
                <w:bCs/>
                <w:color w:val="000000"/>
                <w:sz w:val="24"/>
              </w:rPr>
              <w:t>①</w:t>
            </w:r>
            <w:r>
              <w:rPr>
                <w:bCs/>
                <w:color w:val="000000"/>
                <w:sz w:val="24"/>
              </w:rPr>
              <w:t>设置专门的危险废物暂存间储存</w:t>
            </w:r>
          </w:p>
          <w:p>
            <w:pPr>
              <w:spacing w:line="360" w:lineRule="auto"/>
              <w:ind w:firstLine="480" w:firstLineChars="200"/>
              <w:contextualSpacing/>
              <w:rPr>
                <w:b/>
                <w:bCs w:val="0"/>
                <w:color w:val="000000"/>
                <w:sz w:val="24"/>
                <w:u w:val="single"/>
              </w:rPr>
            </w:pPr>
            <w:r>
              <w:rPr>
                <w:bCs/>
                <w:color w:val="000000"/>
                <w:sz w:val="24"/>
              </w:rPr>
              <w:t>危险废物暂存场必须按照《危险废物贮存污染控制标准》（GB18597-2001）的要求，采取严格的防渗、防雨以及防溢流措施，防止危险废物中的污染物渗入地下；存放区地面与裙脚要用坚固、防渗的材料建造，建筑材料必须与危险废物相容，地面采用防渗混凝土硬化（250mm厚），地面下用灰土作垫层（300mm厚）并铺设HDPE膜。</w:t>
            </w:r>
            <w:r>
              <w:rPr>
                <w:b/>
                <w:bCs w:val="0"/>
                <w:color w:val="000000"/>
                <w:sz w:val="24"/>
                <w:u w:val="single"/>
              </w:rPr>
              <w:t>项目的危废暂存场所应设置危险废物标志</w:t>
            </w:r>
            <w:r>
              <w:rPr>
                <w:rFonts w:hint="eastAsia"/>
                <w:b/>
                <w:bCs w:val="0"/>
                <w:color w:val="000000"/>
                <w:sz w:val="24"/>
                <w:u w:val="single"/>
                <w:lang w:val="en-US" w:eastAsia="zh-CN"/>
              </w:rPr>
              <w:t>和存放物品的名称</w:t>
            </w:r>
            <w:r>
              <w:rPr>
                <w:b/>
                <w:bCs w:val="0"/>
                <w:color w:val="000000"/>
                <w:sz w:val="24"/>
                <w:u w:val="single"/>
              </w:rPr>
              <w:t>。</w:t>
            </w:r>
          </w:p>
          <w:p>
            <w:pPr>
              <w:spacing w:line="360" w:lineRule="auto"/>
              <w:ind w:firstLine="480" w:firstLineChars="200"/>
              <w:contextualSpacing/>
              <w:rPr>
                <w:bCs/>
                <w:color w:val="000000"/>
                <w:sz w:val="24"/>
              </w:rPr>
            </w:pPr>
            <w:r>
              <w:rPr>
                <w:rFonts w:hint="eastAsia"/>
                <w:bCs/>
                <w:color w:val="000000"/>
                <w:sz w:val="24"/>
              </w:rPr>
              <w:t>②</w:t>
            </w:r>
            <w:r>
              <w:rPr>
                <w:bCs/>
                <w:color w:val="000000"/>
                <w:sz w:val="24"/>
              </w:rPr>
              <w:t>危险废物设置专用容器</w:t>
            </w:r>
          </w:p>
          <w:p>
            <w:pPr>
              <w:spacing w:line="360" w:lineRule="auto"/>
              <w:ind w:firstLine="480" w:firstLineChars="200"/>
              <w:contextualSpacing/>
              <w:rPr>
                <w:bCs/>
                <w:color w:val="000000"/>
                <w:sz w:val="24"/>
              </w:rPr>
            </w:pPr>
            <w:r>
              <w:rPr>
                <w:bCs/>
                <w:color w:val="000000"/>
                <w:sz w:val="24"/>
              </w:rPr>
              <w:t>本项目产生的危险废物分别储存在专用的密闭容器内；容器内须留足够空间；容器上设置明显环境保护标志，定期对贮存容器进行检查，发现破损，及时采取措施清理更换；禁止将不兼容危险废物在一个容器内混装。</w:t>
            </w:r>
          </w:p>
          <w:p>
            <w:pPr>
              <w:spacing w:line="360" w:lineRule="auto"/>
              <w:ind w:firstLine="480" w:firstLineChars="200"/>
              <w:contextualSpacing/>
              <w:rPr>
                <w:bCs/>
                <w:color w:val="000000"/>
                <w:sz w:val="24"/>
              </w:rPr>
            </w:pPr>
            <w:r>
              <w:rPr>
                <w:rFonts w:hint="eastAsia"/>
                <w:bCs/>
                <w:color w:val="000000"/>
                <w:sz w:val="24"/>
              </w:rPr>
              <w:t>③</w:t>
            </w:r>
            <w:r>
              <w:rPr>
                <w:bCs/>
                <w:color w:val="000000"/>
                <w:sz w:val="24"/>
              </w:rPr>
              <w:t>委托处理</w:t>
            </w:r>
          </w:p>
          <w:p>
            <w:pPr>
              <w:spacing w:line="360" w:lineRule="auto"/>
              <w:ind w:firstLine="482" w:firstLineChars="200"/>
              <w:contextualSpacing/>
              <w:rPr>
                <w:b/>
                <w:bCs w:val="0"/>
                <w:color w:val="000000"/>
                <w:sz w:val="24"/>
                <w:u w:val="single"/>
              </w:rPr>
            </w:pPr>
            <w:r>
              <w:rPr>
                <w:b/>
                <w:bCs w:val="0"/>
                <w:color w:val="000000"/>
                <w:sz w:val="24"/>
                <w:u w:val="single"/>
              </w:rPr>
              <w:t>禁止危险废物与一般固体废物混合存放；项目产生的危险废物经集中收集后，委托有资质的单位进行处置，确保生产过程产生的危险废物得到妥善处置。</w:t>
            </w:r>
          </w:p>
          <w:p>
            <w:pPr>
              <w:spacing w:line="360" w:lineRule="auto"/>
              <w:ind w:firstLine="480" w:firstLineChars="200"/>
              <w:contextualSpacing/>
              <w:rPr>
                <w:bCs/>
                <w:color w:val="000000"/>
                <w:sz w:val="24"/>
              </w:rPr>
            </w:pPr>
            <w:r>
              <w:rPr>
                <w:rFonts w:hint="eastAsia"/>
                <w:bCs/>
                <w:color w:val="000000"/>
                <w:sz w:val="24"/>
              </w:rPr>
              <w:t>④</w:t>
            </w:r>
            <w:r>
              <w:rPr>
                <w:bCs/>
                <w:color w:val="000000"/>
                <w:sz w:val="24"/>
              </w:rPr>
              <w:t>转移运输</w:t>
            </w:r>
          </w:p>
          <w:p>
            <w:pPr>
              <w:spacing w:line="360" w:lineRule="auto"/>
              <w:ind w:firstLine="480" w:firstLineChars="200"/>
              <w:contextualSpacing/>
              <w:rPr>
                <w:bCs/>
                <w:color w:val="000000"/>
                <w:sz w:val="24"/>
              </w:rPr>
            </w:pPr>
            <w:r>
              <w:rPr>
                <w:bCs/>
                <w:color w:val="000000"/>
                <w:sz w:val="24"/>
              </w:rPr>
              <w:t>由危险废物处置单位上门回收，运输单位承运危险废物时，应在危险废物包装上按照GB18597附录A设置标志，运输车辆应按GB13392设立车辆标志。</w:t>
            </w:r>
          </w:p>
          <w:p>
            <w:pPr>
              <w:spacing w:line="360" w:lineRule="auto"/>
              <w:ind w:firstLine="482" w:firstLineChars="200"/>
              <w:contextualSpacing/>
              <w:rPr>
                <w:bCs/>
                <w:color w:val="000000"/>
                <w:sz w:val="24"/>
              </w:rPr>
            </w:pPr>
            <w:r>
              <w:rPr>
                <w:b/>
                <w:bCs w:val="0"/>
                <w:color w:val="000000"/>
                <w:sz w:val="24"/>
                <w:u w:val="single"/>
              </w:rPr>
              <w:t>危险废物的转移必须按照《危险废物转移联单管理办法》的相关要求执行。转移危险废物前，须按照国家有关规定报批危险废物转移计划，经批准后，建设单位应向当地环保部门申请领取联单。</w:t>
            </w:r>
            <w:r>
              <w:rPr>
                <w:bCs/>
                <w:color w:val="000000"/>
                <w:sz w:val="24"/>
              </w:rPr>
              <w:t>本项目危险废物产生情况见表</w:t>
            </w:r>
            <w:r>
              <w:rPr>
                <w:rFonts w:hint="eastAsia"/>
                <w:bCs/>
                <w:color w:val="000000"/>
                <w:sz w:val="24"/>
              </w:rPr>
              <w:t>4-1</w:t>
            </w:r>
            <w:r>
              <w:rPr>
                <w:rFonts w:hint="eastAsia"/>
                <w:bCs/>
                <w:color w:val="000000"/>
                <w:sz w:val="24"/>
                <w:lang w:val="en-US" w:eastAsia="zh-CN"/>
              </w:rPr>
              <w:t>8</w:t>
            </w:r>
            <w:r>
              <w:rPr>
                <w:bCs/>
                <w:color w:val="000000"/>
                <w:sz w:val="24"/>
              </w:rPr>
              <w:t>。</w:t>
            </w:r>
          </w:p>
          <w:p>
            <w:pPr>
              <w:topLinePunct/>
              <w:spacing w:line="360" w:lineRule="auto"/>
              <w:ind w:firstLine="482" w:firstLineChars="200"/>
              <w:contextualSpacing/>
              <w:jc w:val="center"/>
              <w:rPr>
                <w:b/>
                <w:color w:val="000000"/>
                <w:sz w:val="24"/>
              </w:rPr>
            </w:pPr>
            <w:r>
              <w:rPr>
                <w:rFonts w:hint="eastAsia"/>
                <w:b/>
                <w:color w:val="000000"/>
                <w:sz w:val="24"/>
              </w:rPr>
              <w:t>表4-1</w:t>
            </w:r>
            <w:r>
              <w:rPr>
                <w:rFonts w:hint="eastAsia"/>
                <w:b/>
                <w:color w:val="000000"/>
                <w:sz w:val="24"/>
                <w:lang w:val="en-US" w:eastAsia="zh-CN"/>
              </w:rPr>
              <w:t>8</w:t>
            </w:r>
            <w:r>
              <w:rPr>
                <w:b/>
                <w:color w:val="000000"/>
                <w:sz w:val="24"/>
              </w:rPr>
              <w:t xml:space="preserve">    </w:t>
            </w:r>
            <w:r>
              <w:rPr>
                <w:rFonts w:hint="eastAsia"/>
                <w:b/>
                <w:bCs/>
                <w:color w:val="000000"/>
                <w:sz w:val="24"/>
              </w:rPr>
              <w:t>本项目危险废物产生情况一览</w:t>
            </w:r>
            <w:r>
              <w:rPr>
                <w:rFonts w:hint="eastAsia"/>
                <w:b/>
                <w:color w:val="000000"/>
                <w:sz w:val="24"/>
              </w:rPr>
              <w:t>表</w:t>
            </w:r>
          </w:p>
          <w:tbl>
            <w:tblPr>
              <w:tblStyle w:val="26"/>
              <w:tblW w:w="792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19"/>
              <w:gridCol w:w="668"/>
              <w:gridCol w:w="929"/>
              <w:gridCol w:w="750"/>
              <w:gridCol w:w="783"/>
              <w:gridCol w:w="696"/>
              <w:gridCol w:w="675"/>
              <w:gridCol w:w="600"/>
              <w:gridCol w:w="579"/>
              <w:gridCol w:w="578"/>
              <w:gridCol w:w="579"/>
              <w:gridCol w:w="6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14" w:hRule="atLeast"/>
                <w:jc w:val="center"/>
              </w:trPr>
              <w:tc>
                <w:tcPr>
                  <w:tcW w:w="419" w:type="dxa"/>
                  <w:tcBorders>
                    <w:top w:val="single" w:color="auto" w:sz="8" w:space="0"/>
                    <w:left w:val="single" w:color="auto" w:sz="8"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序号</w:t>
                  </w:r>
                </w:p>
              </w:tc>
              <w:tc>
                <w:tcPr>
                  <w:tcW w:w="668"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危险废物名称</w:t>
                  </w:r>
                </w:p>
              </w:tc>
              <w:tc>
                <w:tcPr>
                  <w:tcW w:w="929"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危险废物类别</w:t>
                  </w:r>
                </w:p>
              </w:tc>
              <w:tc>
                <w:tcPr>
                  <w:tcW w:w="750"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危险废物代码</w:t>
                  </w:r>
                </w:p>
              </w:tc>
              <w:tc>
                <w:tcPr>
                  <w:tcW w:w="783"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产生量（吨</w:t>
                  </w:r>
                  <w:r>
                    <w:rPr>
                      <w:b/>
                      <w:bCs/>
                      <w:color w:val="000000"/>
                      <w:kern w:val="0"/>
                      <w:sz w:val="18"/>
                      <w:szCs w:val="18"/>
                    </w:rPr>
                    <w:t>/</w:t>
                  </w:r>
                  <w:r>
                    <w:rPr>
                      <w:rFonts w:hint="eastAsia"/>
                      <w:b/>
                      <w:bCs/>
                      <w:color w:val="000000"/>
                      <w:kern w:val="0"/>
                      <w:sz w:val="18"/>
                      <w:szCs w:val="18"/>
                    </w:rPr>
                    <w:t>年）</w:t>
                  </w:r>
                </w:p>
              </w:tc>
              <w:tc>
                <w:tcPr>
                  <w:tcW w:w="696"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产生工序及装置</w:t>
                  </w:r>
                </w:p>
              </w:tc>
              <w:tc>
                <w:tcPr>
                  <w:tcW w:w="675"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形态</w:t>
                  </w:r>
                </w:p>
              </w:tc>
              <w:tc>
                <w:tcPr>
                  <w:tcW w:w="600"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主要成分</w:t>
                  </w:r>
                </w:p>
              </w:tc>
              <w:tc>
                <w:tcPr>
                  <w:tcW w:w="579"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有害成分</w:t>
                  </w:r>
                </w:p>
              </w:tc>
              <w:tc>
                <w:tcPr>
                  <w:tcW w:w="578"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产废周期</w:t>
                  </w:r>
                </w:p>
              </w:tc>
              <w:tc>
                <w:tcPr>
                  <w:tcW w:w="579" w:type="dxa"/>
                  <w:tcBorders>
                    <w:top w:val="single" w:color="auto" w:sz="8" w:space="0"/>
                    <w:left w:val="single" w:color="auto" w:sz="4" w:space="0"/>
                    <w:bottom w:val="single" w:color="auto" w:sz="4" w:space="0"/>
                    <w:right w:val="single" w:color="auto" w:sz="4"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危险</w:t>
                  </w:r>
                </w:p>
                <w:p>
                  <w:pPr>
                    <w:topLinePunct/>
                    <w:spacing w:line="300" w:lineRule="exact"/>
                    <w:contextualSpacing/>
                    <w:jc w:val="center"/>
                    <w:rPr>
                      <w:b/>
                      <w:bCs/>
                      <w:color w:val="000000"/>
                      <w:kern w:val="0"/>
                      <w:sz w:val="18"/>
                      <w:szCs w:val="18"/>
                    </w:rPr>
                  </w:pPr>
                  <w:r>
                    <w:rPr>
                      <w:rFonts w:hint="eastAsia"/>
                      <w:b/>
                      <w:bCs/>
                      <w:color w:val="000000"/>
                      <w:kern w:val="0"/>
                      <w:sz w:val="18"/>
                      <w:szCs w:val="18"/>
                    </w:rPr>
                    <w:t>特性</w:t>
                  </w:r>
                </w:p>
              </w:tc>
              <w:tc>
                <w:tcPr>
                  <w:tcW w:w="670" w:type="dxa"/>
                  <w:tcBorders>
                    <w:top w:val="single" w:color="auto" w:sz="8" w:space="0"/>
                    <w:left w:val="single" w:color="auto" w:sz="4" w:space="0"/>
                    <w:bottom w:val="single" w:color="auto" w:sz="4" w:space="0"/>
                    <w:right w:val="single" w:color="auto" w:sz="8" w:space="0"/>
                  </w:tcBorders>
                  <w:vAlign w:val="center"/>
                </w:tcPr>
                <w:p>
                  <w:pPr>
                    <w:topLinePunct/>
                    <w:spacing w:line="300" w:lineRule="exact"/>
                    <w:contextualSpacing/>
                    <w:jc w:val="center"/>
                    <w:rPr>
                      <w:b/>
                      <w:bCs/>
                      <w:color w:val="000000"/>
                      <w:kern w:val="0"/>
                      <w:sz w:val="18"/>
                      <w:szCs w:val="18"/>
                    </w:rPr>
                  </w:pPr>
                  <w:r>
                    <w:rPr>
                      <w:rFonts w:hint="eastAsia"/>
                      <w:b/>
                      <w:bCs/>
                      <w:color w:val="000000"/>
                      <w:kern w:val="0"/>
                      <w:sz w:val="18"/>
                      <w:szCs w:val="18"/>
                    </w:rPr>
                    <w:t>污染防治措施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419" w:type="dxa"/>
                  <w:tcBorders>
                    <w:top w:val="single" w:color="auto" w:sz="4" w:space="0"/>
                    <w:left w:val="single" w:color="auto" w:sz="8"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color w:val="000000"/>
                      <w:kern w:val="0"/>
                      <w:sz w:val="18"/>
                      <w:szCs w:val="18"/>
                    </w:rPr>
                    <w:t>1</w:t>
                  </w:r>
                </w:p>
              </w:tc>
              <w:tc>
                <w:tcPr>
                  <w:tcW w:w="668"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废矿物油</w:t>
                  </w:r>
                </w:p>
              </w:tc>
              <w:tc>
                <w:tcPr>
                  <w:tcW w:w="929"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color w:val="000000"/>
                      <w:kern w:val="0"/>
                      <w:sz w:val="18"/>
                      <w:szCs w:val="18"/>
                    </w:rPr>
                    <w:t>HW08</w:t>
                  </w:r>
                </w:p>
                <w:p>
                  <w:pPr>
                    <w:topLinePunct/>
                    <w:spacing w:line="300" w:lineRule="exact"/>
                    <w:contextualSpacing/>
                    <w:jc w:val="center"/>
                    <w:rPr>
                      <w:color w:val="000000"/>
                      <w:kern w:val="0"/>
                      <w:sz w:val="18"/>
                      <w:szCs w:val="18"/>
                    </w:rPr>
                  </w:pPr>
                  <w:r>
                    <w:rPr>
                      <w:rFonts w:hint="eastAsia"/>
                      <w:color w:val="000000"/>
                      <w:kern w:val="0"/>
                      <w:sz w:val="18"/>
                      <w:szCs w:val="18"/>
                    </w:rPr>
                    <w:t>废矿物油与含矿物油废物</w:t>
                  </w:r>
                </w:p>
              </w:tc>
              <w:tc>
                <w:tcPr>
                  <w:tcW w:w="750"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color w:val="000000"/>
                      <w:kern w:val="0"/>
                      <w:sz w:val="18"/>
                      <w:szCs w:val="18"/>
                    </w:rPr>
                    <w:t>900-249-08</w:t>
                  </w:r>
                </w:p>
              </w:tc>
              <w:tc>
                <w:tcPr>
                  <w:tcW w:w="783"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0.25</w:t>
                  </w:r>
                </w:p>
              </w:tc>
              <w:tc>
                <w:tcPr>
                  <w:tcW w:w="696" w:type="dxa"/>
                  <w:tcBorders>
                    <w:top w:val="single" w:color="auto" w:sz="4" w:space="0"/>
                    <w:left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生产设备</w:t>
                  </w:r>
                </w:p>
              </w:tc>
              <w:tc>
                <w:tcPr>
                  <w:tcW w:w="675"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液态</w:t>
                  </w:r>
                </w:p>
              </w:tc>
              <w:tc>
                <w:tcPr>
                  <w:tcW w:w="600"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废矿物油</w:t>
                  </w:r>
                </w:p>
              </w:tc>
              <w:tc>
                <w:tcPr>
                  <w:tcW w:w="579"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废矿物油</w:t>
                  </w:r>
                </w:p>
              </w:tc>
              <w:tc>
                <w:tcPr>
                  <w:tcW w:w="578"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1~2年</w:t>
                  </w:r>
                </w:p>
              </w:tc>
              <w:tc>
                <w:tcPr>
                  <w:tcW w:w="579" w:type="dxa"/>
                  <w:tcBorders>
                    <w:top w:val="single" w:color="auto" w:sz="4" w:space="0"/>
                    <w:left w:val="single" w:color="auto" w:sz="4" w:space="0"/>
                    <w:bottom w:val="single" w:color="auto" w:sz="4" w:space="0"/>
                    <w:right w:val="single" w:color="auto" w:sz="4" w:space="0"/>
                  </w:tcBorders>
                  <w:vAlign w:val="center"/>
                </w:tcPr>
                <w:p>
                  <w:pPr>
                    <w:topLinePunct/>
                    <w:spacing w:line="300" w:lineRule="exact"/>
                    <w:contextualSpacing/>
                    <w:jc w:val="center"/>
                    <w:rPr>
                      <w:color w:val="000000"/>
                      <w:kern w:val="0"/>
                      <w:sz w:val="18"/>
                      <w:szCs w:val="18"/>
                    </w:rPr>
                  </w:pPr>
                  <w:r>
                    <w:rPr>
                      <w:color w:val="000000"/>
                      <w:kern w:val="0"/>
                      <w:sz w:val="18"/>
                      <w:szCs w:val="18"/>
                    </w:rPr>
                    <w:t>T</w:t>
                  </w:r>
                  <w:r>
                    <w:rPr>
                      <w:rFonts w:hint="eastAsia"/>
                      <w:color w:val="000000"/>
                      <w:kern w:val="0"/>
                      <w:sz w:val="18"/>
                      <w:szCs w:val="18"/>
                    </w:rPr>
                    <w:t>、I</w:t>
                  </w:r>
                </w:p>
              </w:tc>
              <w:tc>
                <w:tcPr>
                  <w:tcW w:w="670" w:type="dxa"/>
                  <w:tcBorders>
                    <w:top w:val="single" w:color="auto" w:sz="4" w:space="0"/>
                    <w:left w:val="single" w:color="auto" w:sz="4" w:space="0"/>
                    <w:bottom w:val="single" w:color="auto" w:sz="4" w:space="0"/>
                    <w:right w:val="single" w:color="auto" w:sz="8" w:space="0"/>
                  </w:tcBorders>
                  <w:vAlign w:val="center"/>
                </w:tcPr>
                <w:p>
                  <w:pPr>
                    <w:topLinePunct/>
                    <w:spacing w:line="300" w:lineRule="exact"/>
                    <w:contextualSpacing/>
                    <w:jc w:val="center"/>
                    <w:rPr>
                      <w:color w:val="000000"/>
                      <w:kern w:val="0"/>
                      <w:sz w:val="18"/>
                      <w:szCs w:val="18"/>
                    </w:rPr>
                  </w:pPr>
                  <w:r>
                    <w:rPr>
                      <w:rFonts w:hint="eastAsia"/>
                      <w:color w:val="000000"/>
                      <w:kern w:val="0"/>
                      <w:sz w:val="18"/>
                      <w:szCs w:val="18"/>
                    </w:rPr>
                    <w:t>收集暂存</w:t>
                  </w:r>
                </w:p>
              </w:tc>
            </w:tr>
          </w:tbl>
          <w:p>
            <w:pPr>
              <w:spacing w:line="360" w:lineRule="auto"/>
              <w:ind w:firstLine="480" w:firstLineChars="200"/>
              <w:rPr>
                <w:snapToGrid w:val="0"/>
                <w:kern w:val="0"/>
                <w:sz w:val="24"/>
              </w:rPr>
            </w:pPr>
            <w:r>
              <w:rPr>
                <w:rFonts w:hint="eastAsia"/>
                <w:snapToGrid w:val="0"/>
                <w:kern w:val="0"/>
                <w:sz w:val="24"/>
              </w:rPr>
              <w:t>4.1.3生活垃圾</w:t>
            </w:r>
          </w:p>
          <w:p>
            <w:pPr>
              <w:spacing w:line="360" w:lineRule="auto"/>
              <w:ind w:firstLine="480" w:firstLineChars="200"/>
              <w:rPr>
                <w:snapToGrid w:val="0"/>
                <w:kern w:val="0"/>
                <w:sz w:val="24"/>
              </w:rPr>
            </w:pPr>
            <w:r>
              <w:rPr>
                <w:rFonts w:hint="eastAsia"/>
                <w:snapToGrid w:val="0"/>
                <w:kern w:val="0"/>
                <w:sz w:val="24"/>
              </w:rPr>
              <w:t>本项目劳动定员120人，生活垃圾产生量按每人每天1.0kg计算，则本项目生活垃圾产生量约为0.12t/d、30t/a，收集后由环卫部门处置。</w:t>
            </w:r>
          </w:p>
          <w:p>
            <w:pPr>
              <w:spacing w:line="360" w:lineRule="auto"/>
              <w:ind w:firstLine="480" w:firstLineChars="200"/>
              <w:rPr>
                <w:color w:val="000000"/>
                <w:sz w:val="24"/>
              </w:rPr>
            </w:pPr>
            <w:r>
              <w:rPr>
                <w:rFonts w:hint="eastAsia"/>
                <w:color w:val="000000"/>
                <w:sz w:val="24"/>
              </w:rPr>
              <w:t>4.1.4本项目固废产生情况汇总</w:t>
            </w:r>
          </w:p>
          <w:p>
            <w:pPr>
              <w:spacing w:line="360" w:lineRule="auto"/>
              <w:ind w:firstLine="480" w:firstLineChars="200"/>
              <w:rPr>
                <w:color w:val="000000"/>
                <w:sz w:val="24"/>
              </w:rPr>
            </w:pPr>
            <w:r>
              <w:rPr>
                <w:rFonts w:hint="eastAsia"/>
                <w:color w:val="000000"/>
                <w:sz w:val="24"/>
              </w:rPr>
              <w:t>本项目固体废物产生种类及处理措施一览表见表4-1</w:t>
            </w:r>
            <w:r>
              <w:rPr>
                <w:rFonts w:hint="eastAsia"/>
                <w:color w:val="000000"/>
                <w:sz w:val="24"/>
                <w:lang w:val="en-US" w:eastAsia="zh-CN"/>
              </w:rPr>
              <w:t>9</w:t>
            </w:r>
            <w:r>
              <w:rPr>
                <w:rFonts w:hint="eastAsia"/>
                <w:color w:val="000000"/>
                <w:sz w:val="24"/>
              </w:rPr>
              <w:t>。</w:t>
            </w:r>
          </w:p>
          <w:p>
            <w:pPr>
              <w:spacing w:line="360" w:lineRule="auto"/>
              <w:ind w:firstLine="482" w:firstLineChars="200"/>
              <w:jc w:val="center"/>
              <w:rPr>
                <w:b/>
                <w:color w:val="000000"/>
                <w:sz w:val="24"/>
              </w:rPr>
            </w:pPr>
            <w:r>
              <w:rPr>
                <w:rFonts w:hint="eastAsia"/>
                <w:b/>
                <w:color w:val="000000"/>
                <w:sz w:val="24"/>
              </w:rPr>
              <w:t>表4-1</w:t>
            </w:r>
            <w:r>
              <w:rPr>
                <w:rFonts w:hint="eastAsia"/>
                <w:b/>
                <w:color w:val="000000"/>
                <w:sz w:val="24"/>
                <w:lang w:val="en-US" w:eastAsia="zh-CN"/>
              </w:rPr>
              <w:t>9</w:t>
            </w:r>
            <w:r>
              <w:rPr>
                <w:b/>
                <w:color w:val="000000"/>
                <w:sz w:val="24"/>
              </w:rPr>
              <w:t xml:space="preserve">    </w:t>
            </w:r>
            <w:r>
              <w:rPr>
                <w:rFonts w:hint="eastAsia"/>
                <w:b/>
                <w:color w:val="000000"/>
                <w:sz w:val="24"/>
              </w:rPr>
              <w:t>项目固体废物种类及处理处置措施一览表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361"/>
              <w:gridCol w:w="1264"/>
              <w:gridCol w:w="1478"/>
              <w:gridCol w:w="1404"/>
              <w:gridCol w:w="1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1" w:type="dxa"/>
                  <w:tcBorders>
                    <w:top w:val="single" w:color="auto" w:sz="4" w:space="0"/>
                    <w:left w:val="single" w:color="auto" w:sz="4" w:space="0"/>
                    <w:right w:val="single" w:color="auto" w:sz="4" w:space="0"/>
                  </w:tcBorders>
                  <w:vAlign w:val="center"/>
                </w:tcPr>
                <w:p>
                  <w:pPr>
                    <w:contextualSpacing/>
                    <w:jc w:val="center"/>
                    <w:rPr>
                      <w:b/>
                      <w:bCs/>
                      <w:color w:val="000000"/>
                      <w:szCs w:val="21"/>
                    </w:rPr>
                  </w:pPr>
                  <w:r>
                    <w:rPr>
                      <w:rFonts w:hint="eastAsia"/>
                      <w:b/>
                      <w:bCs/>
                      <w:color w:val="000000"/>
                      <w:szCs w:val="21"/>
                    </w:rPr>
                    <w:t>序号</w:t>
                  </w:r>
                </w:p>
              </w:tc>
              <w:tc>
                <w:tcPr>
                  <w:tcW w:w="1361" w:type="dxa"/>
                  <w:tcBorders>
                    <w:top w:val="single" w:color="auto" w:sz="4" w:space="0"/>
                    <w:left w:val="single" w:color="auto" w:sz="4" w:space="0"/>
                    <w:bottom w:val="single" w:color="auto" w:sz="4" w:space="0"/>
                    <w:right w:val="single" w:color="auto" w:sz="4" w:space="0"/>
                  </w:tcBorders>
                  <w:vAlign w:val="center"/>
                </w:tcPr>
                <w:p>
                  <w:pPr>
                    <w:contextualSpacing/>
                    <w:jc w:val="center"/>
                    <w:rPr>
                      <w:b/>
                      <w:bCs/>
                      <w:color w:val="000000"/>
                      <w:szCs w:val="21"/>
                    </w:rPr>
                  </w:pPr>
                  <w:r>
                    <w:rPr>
                      <w:rFonts w:hint="eastAsia"/>
                      <w:b/>
                      <w:bCs/>
                      <w:color w:val="000000"/>
                      <w:szCs w:val="21"/>
                    </w:rPr>
                    <w:t>名称</w:t>
                  </w:r>
                </w:p>
              </w:tc>
              <w:tc>
                <w:tcPr>
                  <w:tcW w:w="1264" w:type="dxa"/>
                  <w:tcBorders>
                    <w:top w:val="single" w:color="auto" w:sz="4" w:space="0"/>
                    <w:left w:val="single" w:color="auto" w:sz="4" w:space="0"/>
                    <w:bottom w:val="single" w:color="auto" w:sz="4" w:space="0"/>
                    <w:right w:val="single" w:color="auto" w:sz="4" w:space="0"/>
                  </w:tcBorders>
                  <w:vAlign w:val="center"/>
                </w:tcPr>
                <w:p>
                  <w:pPr>
                    <w:contextualSpacing/>
                    <w:jc w:val="center"/>
                    <w:rPr>
                      <w:b/>
                      <w:bCs/>
                      <w:color w:val="000000"/>
                      <w:szCs w:val="21"/>
                    </w:rPr>
                  </w:pPr>
                  <w:r>
                    <w:rPr>
                      <w:rFonts w:hint="eastAsia"/>
                      <w:b/>
                      <w:bCs/>
                      <w:color w:val="000000"/>
                      <w:szCs w:val="21"/>
                    </w:rPr>
                    <w:t>属性</w:t>
                  </w:r>
                </w:p>
              </w:tc>
              <w:tc>
                <w:tcPr>
                  <w:tcW w:w="1478" w:type="dxa"/>
                  <w:tcBorders>
                    <w:top w:val="single" w:color="auto" w:sz="4" w:space="0"/>
                    <w:left w:val="single" w:color="auto" w:sz="4" w:space="0"/>
                    <w:right w:val="single" w:color="auto" w:sz="4" w:space="0"/>
                  </w:tcBorders>
                  <w:vAlign w:val="center"/>
                </w:tcPr>
                <w:p>
                  <w:pPr>
                    <w:contextualSpacing/>
                    <w:jc w:val="center"/>
                    <w:rPr>
                      <w:b/>
                      <w:bCs/>
                      <w:color w:val="000000"/>
                      <w:szCs w:val="21"/>
                    </w:rPr>
                  </w:pPr>
                  <w:r>
                    <w:rPr>
                      <w:rFonts w:hint="eastAsia"/>
                      <w:b/>
                      <w:bCs/>
                      <w:color w:val="000000"/>
                      <w:szCs w:val="21"/>
                    </w:rPr>
                    <w:t>产生量（t/a）</w:t>
                  </w:r>
                </w:p>
              </w:tc>
              <w:tc>
                <w:tcPr>
                  <w:tcW w:w="1404" w:type="dxa"/>
                  <w:tcBorders>
                    <w:top w:val="single" w:color="auto" w:sz="4" w:space="0"/>
                    <w:left w:val="single" w:color="auto" w:sz="4" w:space="0"/>
                    <w:bottom w:val="single" w:color="auto" w:sz="4" w:space="0"/>
                    <w:right w:val="single" w:color="auto" w:sz="4" w:space="0"/>
                  </w:tcBorders>
                  <w:vAlign w:val="center"/>
                </w:tcPr>
                <w:p>
                  <w:pPr>
                    <w:contextualSpacing/>
                    <w:jc w:val="center"/>
                    <w:rPr>
                      <w:b/>
                      <w:bCs/>
                      <w:color w:val="000000"/>
                      <w:szCs w:val="21"/>
                    </w:rPr>
                  </w:pPr>
                  <w:r>
                    <w:rPr>
                      <w:rFonts w:hint="eastAsia"/>
                      <w:b/>
                      <w:bCs/>
                      <w:color w:val="000000"/>
                      <w:szCs w:val="21"/>
                    </w:rPr>
                    <w:t>处置量（t/a）</w:t>
                  </w:r>
                </w:p>
              </w:tc>
              <w:tc>
                <w:tcPr>
                  <w:tcW w:w="1768" w:type="dxa"/>
                  <w:tcBorders>
                    <w:top w:val="single" w:color="auto" w:sz="4" w:space="0"/>
                    <w:left w:val="single" w:color="auto" w:sz="4" w:space="0"/>
                    <w:bottom w:val="single" w:color="auto" w:sz="4" w:space="0"/>
                    <w:right w:val="single" w:color="auto" w:sz="4" w:space="0"/>
                  </w:tcBorders>
                  <w:vAlign w:val="center"/>
                </w:tcPr>
                <w:p>
                  <w:pPr>
                    <w:contextualSpacing/>
                    <w:jc w:val="center"/>
                    <w:rPr>
                      <w:b/>
                      <w:bCs/>
                      <w:color w:val="000000"/>
                      <w:szCs w:val="21"/>
                    </w:rPr>
                  </w:pPr>
                  <w:r>
                    <w:rPr>
                      <w:rFonts w:hint="eastAsia"/>
                      <w:b/>
                      <w:bCs/>
                      <w:color w:val="000000"/>
                      <w:szCs w:val="21"/>
                    </w:rPr>
                    <w:t>最终去向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1</w:t>
                  </w:r>
                </w:p>
              </w:tc>
              <w:tc>
                <w:tcPr>
                  <w:tcW w:w="13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除尘器收集粉尘</w:t>
                  </w:r>
                </w:p>
              </w:tc>
              <w:tc>
                <w:tcPr>
                  <w:tcW w:w="1264"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一般固废</w:t>
                  </w:r>
                </w:p>
              </w:tc>
              <w:tc>
                <w:tcPr>
                  <w:tcW w:w="1478" w:type="dxa"/>
                  <w:tcBorders>
                    <w:top w:val="single" w:color="auto" w:sz="4" w:space="0"/>
                    <w:left w:val="single" w:color="auto" w:sz="4" w:space="0"/>
                    <w:bottom w:val="single" w:color="auto" w:sz="4" w:space="0"/>
                    <w:right w:val="single" w:color="auto" w:sz="4" w:space="0"/>
                  </w:tcBorders>
                  <w:vAlign w:val="center"/>
                </w:tcPr>
                <w:p>
                  <w:pPr>
                    <w:contextualSpacing/>
                    <w:jc w:val="center"/>
                    <w:rPr>
                      <w:rFonts w:hint="eastAsia" w:eastAsia="宋体"/>
                      <w:color w:val="000000"/>
                      <w:szCs w:val="21"/>
                      <w:lang w:val="en-US" w:eastAsia="zh-CN"/>
                    </w:rPr>
                  </w:pPr>
                  <w:r>
                    <w:rPr>
                      <w:rFonts w:hint="eastAsia"/>
                      <w:color w:val="000000"/>
                      <w:szCs w:val="21"/>
                      <w:lang w:val="en-US" w:eastAsia="zh-CN"/>
                    </w:rPr>
                    <w:t>75.5</w:t>
                  </w:r>
                </w:p>
              </w:tc>
              <w:tc>
                <w:tcPr>
                  <w:tcW w:w="140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hint="eastAsia" w:eastAsia="宋体"/>
                      <w:color w:val="000000"/>
                      <w:szCs w:val="21"/>
                      <w:lang w:val="en-US" w:eastAsia="zh-CN"/>
                    </w:rPr>
                  </w:pPr>
                  <w:r>
                    <w:rPr>
                      <w:rFonts w:hint="eastAsia"/>
                      <w:color w:val="000000"/>
                      <w:szCs w:val="21"/>
                      <w:lang w:val="en-US" w:eastAsia="zh-CN"/>
                    </w:rPr>
                    <w:t>75.5</w:t>
                  </w:r>
                </w:p>
              </w:tc>
              <w:tc>
                <w:tcPr>
                  <w:tcW w:w="1768"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作为产品外售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2</w:t>
                  </w:r>
                </w:p>
              </w:tc>
              <w:tc>
                <w:tcPr>
                  <w:tcW w:w="13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压</w:t>
                  </w:r>
                  <w:r>
                    <w:rPr>
                      <w:rFonts w:hint="eastAsia"/>
                      <w:color w:val="000000"/>
                      <w:szCs w:val="21"/>
                      <w:lang w:val="en-US" w:eastAsia="zh-CN"/>
                    </w:rPr>
                    <w:t>滤</w:t>
                  </w:r>
                  <w:r>
                    <w:rPr>
                      <w:rFonts w:hint="eastAsia"/>
                      <w:color w:val="000000"/>
                      <w:szCs w:val="21"/>
                    </w:rPr>
                    <w:t>料</w:t>
                  </w:r>
                </w:p>
              </w:tc>
              <w:tc>
                <w:tcPr>
                  <w:tcW w:w="1264"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一般固废</w:t>
                  </w:r>
                </w:p>
              </w:tc>
              <w:tc>
                <w:tcPr>
                  <w:tcW w:w="1478" w:type="dxa"/>
                  <w:tcBorders>
                    <w:top w:val="single" w:color="auto" w:sz="4" w:space="0"/>
                    <w:left w:val="single" w:color="auto" w:sz="4" w:space="0"/>
                    <w:bottom w:val="single" w:color="auto" w:sz="4" w:space="0"/>
                    <w:right w:val="single" w:color="auto" w:sz="4" w:space="0"/>
                  </w:tcBorders>
                  <w:vAlign w:val="center"/>
                </w:tcPr>
                <w:p>
                  <w:pPr>
                    <w:contextualSpacing/>
                    <w:jc w:val="center"/>
                    <w:rPr>
                      <w:rFonts w:hint="eastAsia" w:eastAsia="宋体"/>
                      <w:color w:val="000000"/>
                      <w:szCs w:val="21"/>
                      <w:lang w:val="en-US" w:eastAsia="zh-CN"/>
                    </w:rPr>
                  </w:pPr>
                  <w:r>
                    <w:rPr>
                      <w:rFonts w:hint="eastAsia"/>
                      <w:color w:val="000000"/>
                      <w:szCs w:val="21"/>
                      <w:lang w:val="en-US" w:eastAsia="zh-CN"/>
                    </w:rPr>
                    <w:t>20117.94</w:t>
                  </w:r>
                </w:p>
              </w:tc>
              <w:tc>
                <w:tcPr>
                  <w:tcW w:w="1404" w:type="dxa"/>
                  <w:tcBorders>
                    <w:top w:val="single" w:color="auto" w:sz="4" w:space="0"/>
                    <w:left w:val="single" w:color="auto" w:sz="4" w:space="0"/>
                    <w:bottom w:val="single" w:color="auto" w:sz="4" w:space="0"/>
                    <w:right w:val="single" w:color="auto" w:sz="4" w:space="0"/>
                  </w:tcBorders>
                  <w:vAlign w:val="center"/>
                </w:tcPr>
                <w:p>
                  <w:pPr>
                    <w:contextualSpacing/>
                    <w:jc w:val="center"/>
                    <w:rPr>
                      <w:rFonts w:hint="eastAsia" w:eastAsia="宋体"/>
                      <w:color w:val="000000"/>
                      <w:szCs w:val="21"/>
                      <w:lang w:val="en-US" w:eastAsia="zh-CN"/>
                    </w:rPr>
                  </w:pPr>
                  <w:r>
                    <w:rPr>
                      <w:rFonts w:hint="eastAsia"/>
                      <w:color w:val="000000"/>
                      <w:szCs w:val="21"/>
                      <w:lang w:val="en-US" w:eastAsia="zh-CN"/>
                    </w:rPr>
                    <w:t>20117.94</w:t>
                  </w:r>
                </w:p>
              </w:tc>
              <w:tc>
                <w:tcPr>
                  <w:tcW w:w="1768"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在压</w:t>
                  </w:r>
                  <w:r>
                    <w:rPr>
                      <w:rFonts w:hint="eastAsia"/>
                      <w:color w:val="000000"/>
                      <w:szCs w:val="21"/>
                      <w:lang w:val="en-US" w:eastAsia="zh-CN"/>
                    </w:rPr>
                    <w:t>滤</w:t>
                  </w:r>
                  <w:r>
                    <w:rPr>
                      <w:rFonts w:hint="eastAsia"/>
                      <w:color w:val="000000"/>
                      <w:szCs w:val="21"/>
                    </w:rPr>
                    <w:t>料库暂存，定期外售给陶瓷生产厂家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3</w:t>
                  </w:r>
                </w:p>
              </w:tc>
              <w:tc>
                <w:tcPr>
                  <w:tcW w:w="13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生活垃圾</w:t>
                  </w:r>
                </w:p>
              </w:tc>
              <w:tc>
                <w:tcPr>
                  <w:tcW w:w="1264"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生活垃圾</w:t>
                  </w:r>
                </w:p>
              </w:tc>
              <w:tc>
                <w:tcPr>
                  <w:tcW w:w="1478"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30</w:t>
                  </w:r>
                </w:p>
              </w:tc>
              <w:tc>
                <w:tcPr>
                  <w:tcW w:w="1404"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30</w:t>
                  </w:r>
                </w:p>
              </w:tc>
              <w:tc>
                <w:tcPr>
                  <w:tcW w:w="1768"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集中收集后，由环卫部门处置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4</w:t>
                  </w:r>
                </w:p>
              </w:tc>
              <w:tc>
                <w:tcPr>
                  <w:tcW w:w="1361"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废机油、废润滑油</w:t>
                  </w:r>
                </w:p>
              </w:tc>
              <w:tc>
                <w:tcPr>
                  <w:tcW w:w="1264"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color w:val="000000"/>
                      <w:szCs w:val="21"/>
                    </w:rPr>
                    <w:t>危险废物</w:t>
                  </w:r>
                </w:p>
              </w:tc>
              <w:tc>
                <w:tcPr>
                  <w:tcW w:w="1478"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bCs/>
                      <w:color w:val="000000"/>
                      <w:szCs w:val="21"/>
                    </w:rPr>
                    <w:t>0.25</w:t>
                  </w:r>
                </w:p>
              </w:tc>
              <w:tc>
                <w:tcPr>
                  <w:tcW w:w="1404" w:type="dxa"/>
                  <w:tcBorders>
                    <w:top w:val="single" w:color="auto" w:sz="4" w:space="0"/>
                    <w:left w:val="single" w:color="auto" w:sz="4" w:space="0"/>
                    <w:bottom w:val="single" w:color="auto" w:sz="4" w:space="0"/>
                    <w:right w:val="single" w:color="auto" w:sz="4" w:space="0"/>
                  </w:tcBorders>
                  <w:vAlign w:val="center"/>
                </w:tcPr>
                <w:p>
                  <w:pPr>
                    <w:contextualSpacing/>
                    <w:jc w:val="center"/>
                    <w:rPr>
                      <w:color w:val="000000"/>
                      <w:szCs w:val="21"/>
                    </w:rPr>
                  </w:pPr>
                  <w:r>
                    <w:rPr>
                      <w:rFonts w:hint="eastAsia"/>
                      <w:bCs/>
                      <w:color w:val="000000"/>
                      <w:szCs w:val="21"/>
                    </w:rPr>
                    <w:t>0.25</w:t>
                  </w:r>
                </w:p>
              </w:tc>
              <w:tc>
                <w:tcPr>
                  <w:tcW w:w="1768" w:type="dxa"/>
                  <w:tcBorders>
                    <w:top w:val="single" w:color="auto" w:sz="4" w:space="0"/>
                    <w:left w:val="single" w:color="auto" w:sz="4" w:space="0"/>
                    <w:right w:val="single" w:color="auto" w:sz="4" w:space="0"/>
                  </w:tcBorders>
                  <w:vAlign w:val="center"/>
                </w:tcPr>
                <w:p>
                  <w:pPr>
                    <w:contextualSpacing/>
                    <w:jc w:val="center"/>
                    <w:rPr>
                      <w:color w:val="000000"/>
                      <w:szCs w:val="21"/>
                    </w:rPr>
                  </w:pPr>
                  <w:r>
                    <w:rPr>
                      <w:rFonts w:hint="eastAsia"/>
                      <w:color w:val="000000"/>
                      <w:szCs w:val="21"/>
                    </w:rPr>
                    <w:t>交有资质的单位处置</w:t>
                  </w:r>
                </w:p>
              </w:tc>
            </w:tr>
          </w:tbl>
          <w:p>
            <w:pPr>
              <w:spacing w:line="360" w:lineRule="auto"/>
              <w:ind w:firstLine="480" w:firstLineChars="200"/>
              <w:contextualSpacing/>
              <w:rPr>
                <w:color w:val="000000"/>
                <w:sz w:val="24"/>
              </w:rPr>
            </w:pPr>
            <w:r>
              <w:rPr>
                <w:color w:val="000000"/>
                <w:sz w:val="24"/>
              </w:rPr>
              <w:t>综上所述，本项目产生的固体废物均得到了综合利用或合理处置，满足环保要求。不会对周围环境造成二次污染。</w:t>
            </w:r>
          </w:p>
          <w:p>
            <w:pPr>
              <w:adjustRightInd w:val="0"/>
              <w:snapToGrid w:val="0"/>
              <w:spacing w:before="120" w:beforeLines="50" w:line="360" w:lineRule="auto"/>
              <w:ind w:firstLine="482" w:firstLineChars="200"/>
              <w:jc w:val="left"/>
              <w:rPr>
                <w:b/>
                <w:snapToGrid w:val="0"/>
                <w:kern w:val="0"/>
                <w:sz w:val="24"/>
              </w:rPr>
            </w:pPr>
            <w:r>
              <w:rPr>
                <w:rFonts w:hint="eastAsia"/>
                <w:b/>
                <w:snapToGrid w:val="0"/>
                <w:kern w:val="0"/>
                <w:sz w:val="24"/>
              </w:rPr>
              <w:t>5 地下水防治措施</w:t>
            </w:r>
          </w:p>
          <w:p>
            <w:pPr>
              <w:autoSpaceDE w:val="0"/>
              <w:autoSpaceDN w:val="0"/>
              <w:adjustRightInd w:val="0"/>
              <w:snapToGrid w:val="0"/>
              <w:spacing w:line="360" w:lineRule="auto"/>
              <w:ind w:firstLine="480" w:firstLineChars="200"/>
              <w:rPr>
                <w:sz w:val="24"/>
              </w:rPr>
            </w:pPr>
            <w:r>
              <w:rPr>
                <w:rFonts w:hint="eastAsia"/>
                <w:sz w:val="24"/>
              </w:rPr>
              <w:t>本项目对地下水影响主要为危险废物暂存间的废机油、废润滑油泄漏后下渗，对地下水产生不利影响。根据《环境影响评价技术导则地下水环境》（HJ610-2016）地下水污染防渗分区要求，项目厂区按照重点防渗区、简单防渗区进行防渗处理，项目建设对地下水影响较小。本项目地下水防渗要求见下表。</w:t>
            </w:r>
          </w:p>
          <w:p>
            <w:pPr>
              <w:spacing w:line="360" w:lineRule="auto"/>
              <w:ind w:firstLine="482" w:firstLineChars="200"/>
              <w:jc w:val="center"/>
              <w:rPr>
                <w:b/>
                <w:color w:val="000000"/>
                <w:sz w:val="24"/>
              </w:rPr>
            </w:pPr>
            <w:r>
              <w:rPr>
                <w:rFonts w:hint="eastAsia"/>
                <w:b/>
                <w:color w:val="000000"/>
                <w:sz w:val="24"/>
              </w:rPr>
              <w:t>表4-</w:t>
            </w:r>
            <w:r>
              <w:rPr>
                <w:rFonts w:hint="eastAsia"/>
                <w:b/>
                <w:color w:val="000000"/>
                <w:sz w:val="24"/>
                <w:lang w:val="en-US" w:eastAsia="zh-CN"/>
              </w:rPr>
              <w:t>20</w:t>
            </w:r>
            <w:r>
              <w:rPr>
                <w:rFonts w:hint="eastAsia"/>
                <w:b/>
                <w:color w:val="000000"/>
                <w:sz w:val="24"/>
              </w:rPr>
              <w:t xml:space="preserve">    本项目防渗分区一览表</w:t>
            </w:r>
          </w:p>
          <w:tbl>
            <w:tblPr>
              <w:tblStyle w:val="26"/>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3"/>
              <w:gridCol w:w="1415"/>
              <w:gridCol w:w="3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03" w:type="dxa"/>
                  <w:vAlign w:val="center"/>
                </w:tcPr>
                <w:p>
                  <w:pPr>
                    <w:autoSpaceDE w:val="0"/>
                    <w:autoSpaceDN w:val="0"/>
                    <w:adjustRightInd w:val="0"/>
                    <w:snapToGrid w:val="0"/>
                    <w:jc w:val="center"/>
                    <w:rPr>
                      <w:b/>
                      <w:bCs/>
                      <w:szCs w:val="21"/>
                    </w:rPr>
                  </w:pPr>
                  <w:r>
                    <w:rPr>
                      <w:rFonts w:hint="eastAsia"/>
                      <w:b/>
                      <w:bCs/>
                      <w:szCs w:val="21"/>
                    </w:rPr>
                    <w:t>区域</w:t>
                  </w:r>
                </w:p>
              </w:tc>
              <w:tc>
                <w:tcPr>
                  <w:tcW w:w="1415" w:type="dxa"/>
                  <w:vAlign w:val="center"/>
                </w:tcPr>
                <w:p>
                  <w:pPr>
                    <w:autoSpaceDE w:val="0"/>
                    <w:autoSpaceDN w:val="0"/>
                    <w:adjustRightInd w:val="0"/>
                    <w:snapToGrid w:val="0"/>
                    <w:jc w:val="center"/>
                    <w:rPr>
                      <w:b/>
                      <w:bCs/>
                      <w:szCs w:val="21"/>
                    </w:rPr>
                  </w:pPr>
                  <w:r>
                    <w:rPr>
                      <w:rFonts w:hint="eastAsia"/>
                      <w:b/>
                      <w:bCs/>
                      <w:szCs w:val="21"/>
                    </w:rPr>
                    <w:t>防渗分区</w:t>
                  </w:r>
                </w:p>
              </w:tc>
              <w:tc>
                <w:tcPr>
                  <w:tcW w:w="3428" w:type="dxa"/>
                  <w:vAlign w:val="center"/>
                </w:tcPr>
                <w:p>
                  <w:pPr>
                    <w:autoSpaceDE w:val="0"/>
                    <w:autoSpaceDN w:val="0"/>
                    <w:adjustRightInd w:val="0"/>
                    <w:snapToGrid w:val="0"/>
                    <w:jc w:val="center"/>
                    <w:rPr>
                      <w:b/>
                      <w:bCs/>
                      <w:szCs w:val="21"/>
                    </w:rPr>
                  </w:pPr>
                  <w:r>
                    <w:rPr>
                      <w:rFonts w:hint="eastAsia"/>
                      <w:b/>
                      <w:bCs/>
                      <w:szCs w:val="21"/>
                    </w:rPr>
                    <w:t>防渗技术要求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03" w:type="dxa"/>
                  <w:vAlign w:val="center"/>
                </w:tcPr>
                <w:p>
                  <w:pPr>
                    <w:autoSpaceDE w:val="0"/>
                    <w:autoSpaceDN w:val="0"/>
                    <w:adjustRightInd w:val="0"/>
                    <w:snapToGrid w:val="0"/>
                    <w:jc w:val="center"/>
                    <w:rPr>
                      <w:rFonts w:hint="eastAsia" w:eastAsia="宋体"/>
                      <w:szCs w:val="21"/>
                      <w:lang w:val="en-US" w:eastAsia="zh-CN"/>
                    </w:rPr>
                  </w:pPr>
                  <w:r>
                    <w:rPr>
                      <w:rFonts w:hint="eastAsia"/>
                      <w:szCs w:val="21"/>
                    </w:rPr>
                    <w:t>危废暂存间</w:t>
                  </w:r>
                </w:p>
              </w:tc>
              <w:tc>
                <w:tcPr>
                  <w:tcW w:w="1415" w:type="dxa"/>
                  <w:vAlign w:val="center"/>
                </w:tcPr>
                <w:p>
                  <w:pPr>
                    <w:autoSpaceDE w:val="0"/>
                    <w:autoSpaceDN w:val="0"/>
                    <w:adjustRightInd w:val="0"/>
                    <w:snapToGrid w:val="0"/>
                    <w:jc w:val="center"/>
                    <w:rPr>
                      <w:szCs w:val="21"/>
                    </w:rPr>
                  </w:pPr>
                  <w:r>
                    <w:rPr>
                      <w:rFonts w:hint="eastAsia"/>
                      <w:szCs w:val="21"/>
                    </w:rPr>
                    <w:t>重点防渗区</w:t>
                  </w:r>
                </w:p>
              </w:tc>
              <w:tc>
                <w:tcPr>
                  <w:tcW w:w="3428" w:type="dxa"/>
                  <w:vAlign w:val="center"/>
                </w:tcPr>
                <w:p>
                  <w:pPr>
                    <w:autoSpaceDE w:val="0"/>
                    <w:autoSpaceDN w:val="0"/>
                    <w:adjustRightInd w:val="0"/>
                    <w:snapToGrid w:val="0"/>
                    <w:jc w:val="center"/>
                    <w:rPr>
                      <w:szCs w:val="21"/>
                    </w:rPr>
                  </w:pPr>
                  <w:r>
                    <w:rPr>
                      <w:rFonts w:hint="eastAsia"/>
                      <w:szCs w:val="21"/>
                    </w:rPr>
                    <w:t>等效粘土防渗层Mb≥6m，K≤1×10</w:t>
                  </w:r>
                  <w:r>
                    <w:rPr>
                      <w:rFonts w:hint="eastAsia"/>
                      <w:szCs w:val="21"/>
                      <w:vertAlign w:val="superscript"/>
                    </w:rPr>
                    <w:t>-7</w:t>
                  </w:r>
                  <w:r>
                    <w:rPr>
                      <w:rFonts w:hint="eastAsia"/>
                      <w:szCs w:val="21"/>
                    </w:rPr>
                    <w:t>cm/s；或参照GB16889执行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3103" w:type="dxa"/>
                  <w:vAlign w:val="center"/>
                </w:tcPr>
                <w:p>
                  <w:pPr>
                    <w:autoSpaceDE w:val="0"/>
                    <w:autoSpaceDN w:val="0"/>
                    <w:adjustRightInd w:val="0"/>
                    <w:snapToGrid w:val="0"/>
                    <w:jc w:val="center"/>
                    <w:rPr>
                      <w:rFonts w:hint="eastAsia" w:eastAsia="宋体"/>
                      <w:szCs w:val="21"/>
                      <w:lang w:val="en-US" w:eastAsia="zh-CN"/>
                    </w:rPr>
                  </w:pPr>
                  <w:r>
                    <w:rPr>
                      <w:rFonts w:hint="eastAsia"/>
                      <w:szCs w:val="21"/>
                    </w:rPr>
                    <w:t>生产车间、办公区、厂区道路</w:t>
                  </w:r>
                  <w:r>
                    <w:rPr>
                      <w:rFonts w:hint="eastAsia"/>
                      <w:szCs w:val="21"/>
                      <w:lang w:val="en-US" w:eastAsia="zh-CN"/>
                    </w:rPr>
                    <w:t>等</w:t>
                  </w:r>
                </w:p>
              </w:tc>
              <w:tc>
                <w:tcPr>
                  <w:tcW w:w="1415" w:type="dxa"/>
                  <w:vAlign w:val="center"/>
                </w:tcPr>
                <w:p>
                  <w:pPr>
                    <w:autoSpaceDE w:val="0"/>
                    <w:autoSpaceDN w:val="0"/>
                    <w:adjustRightInd w:val="0"/>
                    <w:snapToGrid w:val="0"/>
                    <w:jc w:val="center"/>
                    <w:rPr>
                      <w:szCs w:val="21"/>
                    </w:rPr>
                  </w:pPr>
                  <w:r>
                    <w:rPr>
                      <w:rFonts w:hint="eastAsia"/>
                      <w:szCs w:val="21"/>
                    </w:rPr>
                    <w:t>简单防渗区</w:t>
                  </w:r>
                </w:p>
              </w:tc>
              <w:tc>
                <w:tcPr>
                  <w:tcW w:w="3428" w:type="dxa"/>
                  <w:vAlign w:val="center"/>
                </w:tcPr>
                <w:p>
                  <w:pPr>
                    <w:autoSpaceDE w:val="0"/>
                    <w:autoSpaceDN w:val="0"/>
                    <w:adjustRightInd w:val="0"/>
                    <w:snapToGrid w:val="0"/>
                    <w:jc w:val="center"/>
                    <w:rPr>
                      <w:szCs w:val="21"/>
                    </w:rPr>
                  </w:pPr>
                  <w:r>
                    <w:rPr>
                      <w:rFonts w:hint="eastAsia"/>
                      <w:szCs w:val="21"/>
                    </w:rPr>
                    <w:t>一般地面硬化</w:t>
                  </w:r>
                </w:p>
              </w:tc>
            </w:tr>
          </w:tbl>
          <w:p>
            <w:pPr>
              <w:autoSpaceDE w:val="0"/>
              <w:autoSpaceDN w:val="0"/>
              <w:adjustRightInd w:val="0"/>
              <w:snapToGrid w:val="0"/>
              <w:spacing w:line="360" w:lineRule="auto"/>
              <w:ind w:firstLine="480" w:firstLineChars="200"/>
              <w:jc w:val="left"/>
              <w:rPr>
                <w:sz w:val="24"/>
              </w:rPr>
            </w:pPr>
            <w:r>
              <w:rPr>
                <w:rFonts w:hint="eastAsia"/>
                <w:sz w:val="24"/>
              </w:rPr>
              <w:t>重点防渗区采用2mm厚高密度聚乙烯，或至少2mm厚其它人工材料进行防渗处理，渗透系数≤10</w:t>
            </w:r>
            <w:r>
              <w:rPr>
                <w:rFonts w:hint="eastAsia"/>
                <w:sz w:val="24"/>
                <w:vertAlign w:val="superscript"/>
              </w:rPr>
              <w:t>-10</w:t>
            </w:r>
            <w:r>
              <w:rPr>
                <w:rFonts w:hint="eastAsia"/>
                <w:sz w:val="24"/>
              </w:rPr>
              <w:t>cm/s，然后表面全部进行硬化。</w:t>
            </w:r>
          </w:p>
          <w:p>
            <w:pPr>
              <w:adjustRightInd w:val="0"/>
              <w:snapToGrid w:val="0"/>
              <w:spacing w:before="120" w:beforeLines="50" w:line="360" w:lineRule="auto"/>
              <w:ind w:firstLine="482" w:firstLineChars="200"/>
              <w:jc w:val="left"/>
              <w:rPr>
                <w:b/>
                <w:snapToGrid w:val="0"/>
                <w:kern w:val="0"/>
                <w:sz w:val="24"/>
              </w:rPr>
            </w:pPr>
            <w:r>
              <w:rPr>
                <w:rFonts w:hint="eastAsia"/>
                <w:b/>
                <w:snapToGrid w:val="0"/>
                <w:kern w:val="0"/>
                <w:sz w:val="24"/>
              </w:rPr>
              <w:t>6 土壤环境影响分析</w:t>
            </w:r>
          </w:p>
          <w:p>
            <w:pPr>
              <w:autoSpaceDE w:val="0"/>
              <w:autoSpaceDN w:val="0"/>
              <w:adjustRightInd w:val="0"/>
              <w:snapToGrid w:val="0"/>
              <w:spacing w:line="360" w:lineRule="auto"/>
              <w:ind w:firstLine="480" w:firstLineChars="200"/>
              <w:jc w:val="left"/>
              <w:rPr>
                <w:sz w:val="24"/>
              </w:rPr>
            </w:pPr>
            <w:r>
              <w:rPr>
                <w:rFonts w:hint="eastAsia"/>
                <w:sz w:val="24"/>
              </w:rPr>
              <w:t>（1）土壤环境影响识别</w:t>
            </w:r>
          </w:p>
          <w:p>
            <w:pPr>
              <w:autoSpaceDE w:val="0"/>
              <w:autoSpaceDN w:val="0"/>
              <w:adjustRightInd w:val="0"/>
              <w:snapToGrid w:val="0"/>
              <w:spacing w:line="360" w:lineRule="auto"/>
              <w:ind w:firstLine="480" w:firstLineChars="200"/>
              <w:jc w:val="left"/>
              <w:rPr>
                <w:sz w:val="24"/>
              </w:rPr>
            </w:pPr>
            <w:r>
              <w:rPr>
                <w:rFonts w:hint="eastAsia"/>
                <w:sz w:val="24"/>
              </w:rPr>
              <w:t>本项目建设对土壤环境的影响主要发生在运营期，建设项目土壤环境影响类型与影响途径表见下表。</w:t>
            </w:r>
          </w:p>
          <w:p>
            <w:pPr>
              <w:spacing w:line="360" w:lineRule="auto"/>
              <w:ind w:firstLine="482" w:firstLineChars="200"/>
              <w:jc w:val="center"/>
              <w:rPr>
                <w:b/>
                <w:color w:val="000000"/>
                <w:sz w:val="24"/>
              </w:rPr>
            </w:pPr>
            <w:r>
              <w:rPr>
                <w:rFonts w:hint="eastAsia"/>
                <w:b/>
                <w:color w:val="000000"/>
                <w:sz w:val="24"/>
              </w:rPr>
              <w:t>表4-</w:t>
            </w:r>
            <w:r>
              <w:rPr>
                <w:rFonts w:hint="eastAsia"/>
                <w:b/>
                <w:color w:val="000000"/>
                <w:sz w:val="24"/>
                <w:lang w:val="en-US" w:eastAsia="zh-CN"/>
              </w:rPr>
              <w:t>21</w:t>
            </w:r>
            <w:r>
              <w:rPr>
                <w:rFonts w:hint="eastAsia"/>
                <w:b/>
                <w:color w:val="000000"/>
                <w:sz w:val="24"/>
              </w:rPr>
              <w:t xml:space="preserve">    建设项目土壤环境影响类型与影响途径表</w:t>
            </w:r>
          </w:p>
          <w:tbl>
            <w:tblPr>
              <w:tblStyle w:val="26"/>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9"/>
              <w:gridCol w:w="1589"/>
              <w:gridCol w:w="1589"/>
              <w:gridCol w:w="1589"/>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9" w:type="dxa"/>
                  <w:vMerge w:val="restart"/>
                  <w:vAlign w:val="center"/>
                </w:tcPr>
                <w:p>
                  <w:pPr>
                    <w:autoSpaceDE w:val="0"/>
                    <w:autoSpaceDN w:val="0"/>
                    <w:adjustRightInd w:val="0"/>
                    <w:snapToGrid w:val="0"/>
                    <w:jc w:val="center"/>
                    <w:rPr>
                      <w:b/>
                      <w:bCs/>
                      <w:szCs w:val="21"/>
                    </w:rPr>
                  </w:pPr>
                  <w:r>
                    <w:rPr>
                      <w:rFonts w:hint="eastAsia"/>
                      <w:b/>
                      <w:bCs/>
                      <w:szCs w:val="21"/>
                    </w:rPr>
                    <w:t>时段</w:t>
                  </w:r>
                </w:p>
              </w:tc>
              <w:tc>
                <w:tcPr>
                  <w:tcW w:w="6357" w:type="dxa"/>
                  <w:gridSpan w:val="4"/>
                  <w:vAlign w:val="center"/>
                </w:tcPr>
                <w:p>
                  <w:pPr>
                    <w:autoSpaceDE w:val="0"/>
                    <w:autoSpaceDN w:val="0"/>
                    <w:adjustRightInd w:val="0"/>
                    <w:snapToGrid w:val="0"/>
                    <w:jc w:val="center"/>
                    <w:rPr>
                      <w:b/>
                      <w:bCs/>
                      <w:szCs w:val="21"/>
                    </w:rPr>
                  </w:pPr>
                  <w:r>
                    <w:rPr>
                      <w:rFonts w:hint="eastAsia"/>
                      <w:b/>
                      <w:bCs/>
                      <w:szCs w:val="21"/>
                    </w:rPr>
                    <w:t>污染影响类型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9" w:type="dxa"/>
                  <w:vMerge w:val="continue"/>
                  <w:vAlign w:val="center"/>
                </w:tcPr>
                <w:p>
                  <w:pPr>
                    <w:autoSpaceDE w:val="0"/>
                    <w:autoSpaceDN w:val="0"/>
                    <w:adjustRightInd w:val="0"/>
                    <w:snapToGrid w:val="0"/>
                    <w:jc w:val="center"/>
                    <w:rPr>
                      <w:b/>
                      <w:bCs/>
                      <w:szCs w:val="21"/>
                    </w:rPr>
                  </w:pPr>
                </w:p>
              </w:tc>
              <w:tc>
                <w:tcPr>
                  <w:tcW w:w="1589" w:type="dxa"/>
                  <w:vAlign w:val="center"/>
                </w:tcPr>
                <w:p>
                  <w:pPr>
                    <w:autoSpaceDE w:val="0"/>
                    <w:autoSpaceDN w:val="0"/>
                    <w:adjustRightInd w:val="0"/>
                    <w:snapToGrid w:val="0"/>
                    <w:jc w:val="center"/>
                    <w:rPr>
                      <w:b/>
                      <w:bCs/>
                      <w:szCs w:val="21"/>
                    </w:rPr>
                  </w:pPr>
                  <w:r>
                    <w:rPr>
                      <w:rFonts w:hint="eastAsia"/>
                      <w:b/>
                      <w:bCs/>
                      <w:szCs w:val="21"/>
                    </w:rPr>
                    <w:t>大气沉降</w:t>
                  </w:r>
                </w:p>
              </w:tc>
              <w:tc>
                <w:tcPr>
                  <w:tcW w:w="1589" w:type="dxa"/>
                  <w:vAlign w:val="center"/>
                </w:tcPr>
                <w:p>
                  <w:pPr>
                    <w:autoSpaceDE w:val="0"/>
                    <w:autoSpaceDN w:val="0"/>
                    <w:adjustRightInd w:val="0"/>
                    <w:snapToGrid w:val="0"/>
                    <w:jc w:val="center"/>
                    <w:rPr>
                      <w:b/>
                      <w:bCs/>
                      <w:szCs w:val="21"/>
                    </w:rPr>
                  </w:pPr>
                  <w:r>
                    <w:rPr>
                      <w:rFonts w:hint="eastAsia"/>
                      <w:b/>
                      <w:bCs/>
                      <w:szCs w:val="21"/>
                    </w:rPr>
                    <w:t>地面漫流</w:t>
                  </w:r>
                </w:p>
              </w:tc>
              <w:tc>
                <w:tcPr>
                  <w:tcW w:w="1589" w:type="dxa"/>
                  <w:vAlign w:val="center"/>
                </w:tcPr>
                <w:p>
                  <w:pPr>
                    <w:autoSpaceDE w:val="0"/>
                    <w:autoSpaceDN w:val="0"/>
                    <w:adjustRightInd w:val="0"/>
                    <w:snapToGrid w:val="0"/>
                    <w:jc w:val="center"/>
                    <w:rPr>
                      <w:b/>
                      <w:bCs/>
                      <w:szCs w:val="21"/>
                    </w:rPr>
                  </w:pPr>
                  <w:r>
                    <w:rPr>
                      <w:rFonts w:hint="eastAsia"/>
                      <w:b/>
                      <w:bCs/>
                      <w:szCs w:val="21"/>
                    </w:rPr>
                    <w:t>垂直入渗</w:t>
                  </w:r>
                </w:p>
              </w:tc>
              <w:tc>
                <w:tcPr>
                  <w:tcW w:w="1590" w:type="dxa"/>
                  <w:vAlign w:val="center"/>
                </w:tcPr>
                <w:p>
                  <w:pPr>
                    <w:autoSpaceDE w:val="0"/>
                    <w:autoSpaceDN w:val="0"/>
                    <w:adjustRightInd w:val="0"/>
                    <w:snapToGrid w:val="0"/>
                    <w:jc w:val="center"/>
                    <w:rPr>
                      <w:b/>
                      <w:bCs/>
                      <w:szCs w:val="21"/>
                    </w:rPr>
                  </w:pPr>
                  <w:r>
                    <w:rPr>
                      <w:rFonts w:hint="eastAsia"/>
                      <w:b/>
                      <w:bCs/>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9" w:type="dxa"/>
                  <w:vAlign w:val="center"/>
                </w:tcPr>
                <w:p>
                  <w:pPr>
                    <w:autoSpaceDE w:val="0"/>
                    <w:autoSpaceDN w:val="0"/>
                    <w:adjustRightInd w:val="0"/>
                    <w:snapToGrid w:val="0"/>
                    <w:jc w:val="center"/>
                    <w:rPr>
                      <w:szCs w:val="21"/>
                    </w:rPr>
                  </w:pPr>
                  <w:r>
                    <w:rPr>
                      <w:rFonts w:hint="eastAsia"/>
                      <w:szCs w:val="21"/>
                    </w:rPr>
                    <w:t>建设期</w:t>
                  </w:r>
                </w:p>
              </w:tc>
              <w:tc>
                <w:tcPr>
                  <w:tcW w:w="1589" w:type="dxa"/>
                  <w:vAlign w:val="center"/>
                </w:tcPr>
                <w:p>
                  <w:pPr>
                    <w:autoSpaceDE w:val="0"/>
                    <w:autoSpaceDN w:val="0"/>
                    <w:adjustRightInd w:val="0"/>
                    <w:snapToGrid w:val="0"/>
                    <w:jc w:val="center"/>
                    <w:rPr>
                      <w:szCs w:val="21"/>
                    </w:rPr>
                  </w:pPr>
                  <w:r>
                    <w:rPr>
                      <w:rFonts w:hint="eastAsia"/>
                      <w:szCs w:val="21"/>
                    </w:rPr>
                    <w:t>/</w:t>
                  </w:r>
                </w:p>
              </w:tc>
              <w:tc>
                <w:tcPr>
                  <w:tcW w:w="1589" w:type="dxa"/>
                  <w:vAlign w:val="center"/>
                </w:tcPr>
                <w:p>
                  <w:pPr>
                    <w:autoSpaceDE w:val="0"/>
                    <w:autoSpaceDN w:val="0"/>
                    <w:adjustRightInd w:val="0"/>
                    <w:snapToGrid w:val="0"/>
                    <w:jc w:val="center"/>
                    <w:rPr>
                      <w:szCs w:val="21"/>
                    </w:rPr>
                  </w:pPr>
                  <w:r>
                    <w:rPr>
                      <w:rFonts w:hint="eastAsia"/>
                      <w:szCs w:val="21"/>
                    </w:rPr>
                    <w:t>/</w:t>
                  </w:r>
                </w:p>
              </w:tc>
              <w:tc>
                <w:tcPr>
                  <w:tcW w:w="1589" w:type="dxa"/>
                  <w:vAlign w:val="center"/>
                </w:tcPr>
                <w:p>
                  <w:pPr>
                    <w:autoSpaceDE w:val="0"/>
                    <w:autoSpaceDN w:val="0"/>
                    <w:adjustRightInd w:val="0"/>
                    <w:snapToGrid w:val="0"/>
                    <w:jc w:val="center"/>
                    <w:rPr>
                      <w:szCs w:val="21"/>
                    </w:rPr>
                  </w:pPr>
                  <w:r>
                    <w:rPr>
                      <w:rFonts w:hint="eastAsia"/>
                      <w:szCs w:val="21"/>
                    </w:rPr>
                    <w:t>/</w:t>
                  </w:r>
                </w:p>
              </w:tc>
              <w:tc>
                <w:tcPr>
                  <w:tcW w:w="1590" w:type="dxa"/>
                  <w:vAlign w:val="center"/>
                </w:tcPr>
                <w:p>
                  <w:pPr>
                    <w:autoSpaceDE w:val="0"/>
                    <w:autoSpaceDN w:val="0"/>
                    <w:adjustRightInd w:val="0"/>
                    <w:snapToGrid w:val="0"/>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9" w:type="dxa"/>
                  <w:vAlign w:val="center"/>
                </w:tcPr>
                <w:p>
                  <w:pPr>
                    <w:autoSpaceDE w:val="0"/>
                    <w:autoSpaceDN w:val="0"/>
                    <w:adjustRightInd w:val="0"/>
                    <w:snapToGrid w:val="0"/>
                    <w:jc w:val="center"/>
                    <w:rPr>
                      <w:szCs w:val="21"/>
                    </w:rPr>
                  </w:pPr>
                  <w:r>
                    <w:rPr>
                      <w:rFonts w:hint="eastAsia"/>
                      <w:szCs w:val="21"/>
                    </w:rPr>
                    <w:t>运营期</w:t>
                  </w:r>
                </w:p>
              </w:tc>
              <w:tc>
                <w:tcPr>
                  <w:tcW w:w="1589" w:type="dxa"/>
                  <w:vAlign w:val="center"/>
                </w:tcPr>
                <w:p>
                  <w:pPr>
                    <w:autoSpaceDE w:val="0"/>
                    <w:autoSpaceDN w:val="0"/>
                    <w:adjustRightInd w:val="0"/>
                    <w:snapToGrid w:val="0"/>
                    <w:jc w:val="center"/>
                    <w:rPr>
                      <w:szCs w:val="21"/>
                    </w:rPr>
                  </w:pPr>
                  <w:r>
                    <w:rPr>
                      <w:rFonts w:hint="eastAsia"/>
                      <w:szCs w:val="21"/>
                    </w:rPr>
                    <w:t>√</w:t>
                  </w:r>
                </w:p>
              </w:tc>
              <w:tc>
                <w:tcPr>
                  <w:tcW w:w="1589" w:type="dxa"/>
                  <w:vAlign w:val="center"/>
                </w:tcPr>
                <w:p>
                  <w:pPr>
                    <w:autoSpaceDE w:val="0"/>
                    <w:autoSpaceDN w:val="0"/>
                    <w:adjustRightInd w:val="0"/>
                    <w:snapToGrid w:val="0"/>
                    <w:jc w:val="center"/>
                    <w:rPr>
                      <w:szCs w:val="21"/>
                    </w:rPr>
                  </w:pPr>
                  <w:r>
                    <w:rPr>
                      <w:rFonts w:hint="eastAsia"/>
                      <w:szCs w:val="21"/>
                    </w:rPr>
                    <w:t>/</w:t>
                  </w:r>
                </w:p>
              </w:tc>
              <w:tc>
                <w:tcPr>
                  <w:tcW w:w="1589" w:type="dxa"/>
                  <w:vAlign w:val="center"/>
                </w:tcPr>
                <w:p>
                  <w:pPr>
                    <w:autoSpaceDE w:val="0"/>
                    <w:autoSpaceDN w:val="0"/>
                    <w:adjustRightInd w:val="0"/>
                    <w:snapToGrid w:val="0"/>
                    <w:jc w:val="center"/>
                    <w:rPr>
                      <w:szCs w:val="21"/>
                    </w:rPr>
                  </w:pPr>
                  <w:r>
                    <w:rPr>
                      <w:rFonts w:hint="eastAsia"/>
                      <w:szCs w:val="21"/>
                    </w:rPr>
                    <w:t>√</w:t>
                  </w:r>
                </w:p>
              </w:tc>
              <w:tc>
                <w:tcPr>
                  <w:tcW w:w="1590" w:type="dxa"/>
                  <w:vAlign w:val="center"/>
                </w:tcPr>
                <w:p>
                  <w:pPr>
                    <w:autoSpaceDE w:val="0"/>
                    <w:autoSpaceDN w:val="0"/>
                    <w:adjustRightInd w:val="0"/>
                    <w:snapToGrid w:val="0"/>
                    <w:jc w:val="center"/>
                    <w:rPr>
                      <w:szCs w:val="21"/>
                    </w:rPr>
                  </w:pPr>
                  <w:r>
                    <w:rPr>
                      <w:rFonts w:hint="eastAsia"/>
                      <w:szCs w:val="21"/>
                    </w:rPr>
                    <w:t>/</w:t>
                  </w:r>
                </w:p>
              </w:tc>
            </w:tr>
          </w:tbl>
          <w:p>
            <w:pPr>
              <w:autoSpaceDE w:val="0"/>
              <w:autoSpaceDN w:val="0"/>
              <w:adjustRightInd w:val="0"/>
              <w:snapToGrid w:val="0"/>
              <w:spacing w:line="360" w:lineRule="auto"/>
              <w:ind w:firstLine="480" w:firstLineChars="200"/>
              <w:jc w:val="left"/>
              <w:rPr>
                <w:sz w:val="24"/>
              </w:rPr>
            </w:pPr>
            <w:r>
              <w:rPr>
                <w:rFonts w:hint="eastAsia"/>
                <w:sz w:val="24"/>
              </w:rPr>
              <w:t>建设项目土壤环境影响源及影响因子识别表见下表。</w:t>
            </w:r>
          </w:p>
          <w:p>
            <w:pPr>
              <w:spacing w:line="360" w:lineRule="auto"/>
              <w:ind w:firstLine="482" w:firstLineChars="200"/>
              <w:jc w:val="center"/>
              <w:rPr>
                <w:b/>
                <w:color w:val="000000"/>
                <w:sz w:val="24"/>
              </w:rPr>
            </w:pPr>
            <w:r>
              <w:rPr>
                <w:rFonts w:hint="eastAsia"/>
                <w:b/>
                <w:color w:val="000000"/>
                <w:sz w:val="24"/>
              </w:rPr>
              <w:t>表4-2</w:t>
            </w:r>
            <w:r>
              <w:rPr>
                <w:rFonts w:hint="eastAsia"/>
                <w:b/>
                <w:color w:val="000000"/>
                <w:sz w:val="24"/>
                <w:lang w:val="en-US" w:eastAsia="zh-CN"/>
              </w:rPr>
              <w:t>2</w:t>
            </w:r>
            <w:r>
              <w:rPr>
                <w:rFonts w:hint="eastAsia"/>
                <w:b/>
                <w:color w:val="000000"/>
                <w:sz w:val="24"/>
              </w:rPr>
              <w:t xml:space="preserve">    污染影响型建设项目土壤环境影响源及影响因子识别表</w:t>
            </w:r>
          </w:p>
          <w:tbl>
            <w:tblPr>
              <w:tblStyle w:val="26"/>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1526"/>
              <w:gridCol w:w="1324"/>
              <w:gridCol w:w="2143"/>
              <w:gridCol w:w="1103"/>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22" w:type="dxa"/>
                  <w:vAlign w:val="center"/>
                </w:tcPr>
                <w:p>
                  <w:pPr>
                    <w:autoSpaceDE w:val="0"/>
                    <w:autoSpaceDN w:val="0"/>
                    <w:adjustRightInd w:val="0"/>
                    <w:snapToGrid w:val="0"/>
                    <w:jc w:val="center"/>
                    <w:rPr>
                      <w:b/>
                      <w:bCs/>
                      <w:szCs w:val="21"/>
                    </w:rPr>
                  </w:pPr>
                  <w:r>
                    <w:rPr>
                      <w:rFonts w:hint="eastAsia"/>
                      <w:b/>
                      <w:bCs/>
                      <w:szCs w:val="21"/>
                    </w:rPr>
                    <w:t>污染源</w:t>
                  </w:r>
                </w:p>
              </w:tc>
              <w:tc>
                <w:tcPr>
                  <w:tcW w:w="1526" w:type="dxa"/>
                  <w:vAlign w:val="center"/>
                </w:tcPr>
                <w:p>
                  <w:pPr>
                    <w:autoSpaceDE w:val="0"/>
                    <w:autoSpaceDN w:val="0"/>
                    <w:adjustRightInd w:val="0"/>
                    <w:snapToGrid w:val="0"/>
                    <w:jc w:val="center"/>
                    <w:rPr>
                      <w:b/>
                      <w:bCs/>
                      <w:szCs w:val="21"/>
                    </w:rPr>
                  </w:pPr>
                  <w:r>
                    <w:rPr>
                      <w:rFonts w:hint="eastAsia"/>
                      <w:b/>
                      <w:bCs/>
                      <w:szCs w:val="21"/>
                    </w:rPr>
                    <w:t>工艺流程</w:t>
                  </w:r>
                </w:p>
                <w:p>
                  <w:pPr>
                    <w:autoSpaceDE w:val="0"/>
                    <w:autoSpaceDN w:val="0"/>
                    <w:adjustRightInd w:val="0"/>
                    <w:snapToGrid w:val="0"/>
                    <w:jc w:val="center"/>
                    <w:rPr>
                      <w:b/>
                      <w:bCs/>
                      <w:szCs w:val="21"/>
                    </w:rPr>
                  </w:pPr>
                  <w:r>
                    <w:rPr>
                      <w:rFonts w:hint="eastAsia"/>
                      <w:b/>
                      <w:bCs/>
                      <w:szCs w:val="21"/>
                    </w:rPr>
                    <w:t>/节点</w:t>
                  </w:r>
                </w:p>
              </w:tc>
              <w:tc>
                <w:tcPr>
                  <w:tcW w:w="1324" w:type="dxa"/>
                  <w:vAlign w:val="center"/>
                </w:tcPr>
                <w:p>
                  <w:pPr>
                    <w:autoSpaceDE w:val="0"/>
                    <w:autoSpaceDN w:val="0"/>
                    <w:adjustRightInd w:val="0"/>
                    <w:snapToGrid w:val="0"/>
                    <w:jc w:val="center"/>
                    <w:rPr>
                      <w:b/>
                      <w:bCs/>
                      <w:szCs w:val="21"/>
                    </w:rPr>
                  </w:pPr>
                  <w:r>
                    <w:rPr>
                      <w:rFonts w:hint="eastAsia"/>
                      <w:b/>
                      <w:bCs/>
                      <w:szCs w:val="21"/>
                    </w:rPr>
                    <w:t>污染途径</w:t>
                  </w:r>
                </w:p>
              </w:tc>
              <w:tc>
                <w:tcPr>
                  <w:tcW w:w="2143" w:type="dxa"/>
                  <w:vAlign w:val="center"/>
                </w:tcPr>
                <w:p>
                  <w:pPr>
                    <w:autoSpaceDE w:val="0"/>
                    <w:autoSpaceDN w:val="0"/>
                    <w:adjustRightInd w:val="0"/>
                    <w:snapToGrid w:val="0"/>
                    <w:jc w:val="center"/>
                    <w:rPr>
                      <w:b/>
                      <w:bCs/>
                      <w:szCs w:val="21"/>
                    </w:rPr>
                  </w:pPr>
                  <w:r>
                    <w:rPr>
                      <w:rFonts w:hint="eastAsia"/>
                      <w:b/>
                      <w:bCs/>
                      <w:szCs w:val="21"/>
                    </w:rPr>
                    <w:t>全部污染物指标</w:t>
                  </w:r>
                  <w:r>
                    <w:rPr>
                      <w:rFonts w:hint="eastAsia"/>
                      <w:b/>
                      <w:bCs/>
                      <w:szCs w:val="21"/>
                      <w:vertAlign w:val="superscript"/>
                    </w:rPr>
                    <w:t>a</w:t>
                  </w:r>
                </w:p>
              </w:tc>
              <w:tc>
                <w:tcPr>
                  <w:tcW w:w="1103" w:type="dxa"/>
                  <w:vAlign w:val="center"/>
                </w:tcPr>
                <w:p>
                  <w:pPr>
                    <w:autoSpaceDE w:val="0"/>
                    <w:autoSpaceDN w:val="0"/>
                    <w:adjustRightInd w:val="0"/>
                    <w:snapToGrid w:val="0"/>
                    <w:jc w:val="center"/>
                    <w:rPr>
                      <w:b/>
                      <w:bCs/>
                      <w:szCs w:val="21"/>
                    </w:rPr>
                  </w:pPr>
                  <w:r>
                    <w:rPr>
                      <w:rFonts w:hint="eastAsia"/>
                      <w:b/>
                      <w:bCs/>
                      <w:szCs w:val="21"/>
                    </w:rPr>
                    <w:t>特征因子</w:t>
                  </w:r>
                </w:p>
              </w:tc>
              <w:tc>
                <w:tcPr>
                  <w:tcW w:w="728" w:type="dxa"/>
                  <w:vAlign w:val="center"/>
                </w:tcPr>
                <w:p>
                  <w:pPr>
                    <w:autoSpaceDE w:val="0"/>
                    <w:autoSpaceDN w:val="0"/>
                    <w:adjustRightInd w:val="0"/>
                    <w:snapToGrid w:val="0"/>
                    <w:jc w:val="center"/>
                    <w:rPr>
                      <w:b/>
                      <w:bCs/>
                      <w:szCs w:val="21"/>
                    </w:rPr>
                  </w:pPr>
                  <w:r>
                    <w:rPr>
                      <w:rFonts w:hint="eastAsia"/>
                      <w:b/>
                      <w:bCs/>
                      <w:szCs w:val="21"/>
                    </w:rPr>
                    <w:t>备注</w:t>
                  </w:r>
                  <w:r>
                    <w:rPr>
                      <w:rFonts w:hint="eastAsia"/>
                      <w:b/>
                      <w:bCs/>
                      <w:szCs w:val="21"/>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22" w:type="dxa"/>
                  <w:vMerge w:val="restart"/>
                  <w:vAlign w:val="center"/>
                </w:tcPr>
                <w:p>
                  <w:pPr>
                    <w:autoSpaceDE w:val="0"/>
                    <w:autoSpaceDN w:val="0"/>
                    <w:adjustRightInd w:val="0"/>
                    <w:snapToGrid w:val="0"/>
                    <w:jc w:val="center"/>
                    <w:rPr>
                      <w:szCs w:val="21"/>
                    </w:rPr>
                  </w:pPr>
                  <w:r>
                    <w:rPr>
                      <w:rFonts w:hint="eastAsia"/>
                      <w:szCs w:val="21"/>
                    </w:rPr>
                    <w:t>生产车间</w:t>
                  </w:r>
                </w:p>
              </w:tc>
              <w:tc>
                <w:tcPr>
                  <w:tcW w:w="1526" w:type="dxa"/>
                  <w:vAlign w:val="center"/>
                </w:tcPr>
                <w:p>
                  <w:pPr>
                    <w:autoSpaceDE w:val="0"/>
                    <w:autoSpaceDN w:val="0"/>
                    <w:adjustRightInd w:val="0"/>
                    <w:snapToGrid w:val="0"/>
                    <w:jc w:val="center"/>
                    <w:rPr>
                      <w:szCs w:val="21"/>
                    </w:rPr>
                  </w:pPr>
                  <w:r>
                    <w:rPr>
                      <w:rFonts w:hint="eastAsia"/>
                      <w:szCs w:val="21"/>
                    </w:rPr>
                    <w:t>废气处理设施</w:t>
                  </w:r>
                </w:p>
              </w:tc>
              <w:tc>
                <w:tcPr>
                  <w:tcW w:w="1324" w:type="dxa"/>
                  <w:vAlign w:val="center"/>
                </w:tcPr>
                <w:p>
                  <w:pPr>
                    <w:autoSpaceDE w:val="0"/>
                    <w:autoSpaceDN w:val="0"/>
                    <w:adjustRightInd w:val="0"/>
                    <w:snapToGrid w:val="0"/>
                    <w:jc w:val="center"/>
                    <w:rPr>
                      <w:szCs w:val="21"/>
                    </w:rPr>
                  </w:pPr>
                  <w:r>
                    <w:rPr>
                      <w:rFonts w:hint="eastAsia"/>
                      <w:szCs w:val="21"/>
                    </w:rPr>
                    <w:t>大气沉降</w:t>
                  </w:r>
                </w:p>
              </w:tc>
              <w:tc>
                <w:tcPr>
                  <w:tcW w:w="2143" w:type="dxa"/>
                  <w:vAlign w:val="center"/>
                </w:tcPr>
                <w:p>
                  <w:pPr>
                    <w:autoSpaceDE w:val="0"/>
                    <w:autoSpaceDN w:val="0"/>
                    <w:adjustRightInd w:val="0"/>
                    <w:snapToGrid w:val="0"/>
                    <w:jc w:val="center"/>
                    <w:rPr>
                      <w:szCs w:val="21"/>
                    </w:rPr>
                  </w:pPr>
                  <w:r>
                    <w:rPr>
                      <w:rFonts w:hint="eastAsia"/>
                      <w:szCs w:val="21"/>
                    </w:rPr>
                    <w:t>颗粒物、SO</w:t>
                  </w:r>
                  <w:r>
                    <w:rPr>
                      <w:rFonts w:hint="eastAsia"/>
                      <w:szCs w:val="21"/>
                      <w:vertAlign w:val="subscript"/>
                    </w:rPr>
                    <w:t>2</w:t>
                  </w:r>
                  <w:r>
                    <w:rPr>
                      <w:rFonts w:hint="eastAsia"/>
                      <w:szCs w:val="21"/>
                    </w:rPr>
                    <w:t>、NO</w:t>
                  </w:r>
                  <w:r>
                    <w:rPr>
                      <w:rFonts w:hint="eastAsia"/>
                      <w:szCs w:val="21"/>
                      <w:vertAlign w:val="subscript"/>
                    </w:rPr>
                    <w:t>X</w:t>
                  </w:r>
                </w:p>
              </w:tc>
              <w:tc>
                <w:tcPr>
                  <w:tcW w:w="1103" w:type="dxa"/>
                  <w:vAlign w:val="center"/>
                </w:tcPr>
                <w:p>
                  <w:pPr>
                    <w:autoSpaceDE w:val="0"/>
                    <w:autoSpaceDN w:val="0"/>
                    <w:adjustRightInd w:val="0"/>
                    <w:snapToGrid w:val="0"/>
                    <w:jc w:val="center"/>
                    <w:rPr>
                      <w:szCs w:val="21"/>
                    </w:rPr>
                  </w:pPr>
                  <w:r>
                    <w:rPr>
                      <w:rFonts w:hint="eastAsia"/>
                      <w:szCs w:val="21"/>
                    </w:rPr>
                    <w:t>/</w:t>
                  </w:r>
                </w:p>
              </w:tc>
              <w:tc>
                <w:tcPr>
                  <w:tcW w:w="728" w:type="dxa"/>
                  <w:vAlign w:val="center"/>
                </w:tcPr>
                <w:p>
                  <w:pPr>
                    <w:autoSpaceDE w:val="0"/>
                    <w:autoSpaceDN w:val="0"/>
                    <w:adjustRightInd w:val="0"/>
                    <w:snapToGrid w:val="0"/>
                    <w:jc w:val="center"/>
                    <w:rPr>
                      <w:szCs w:val="21"/>
                    </w:rPr>
                  </w:pPr>
                  <w:r>
                    <w:rPr>
                      <w:rFonts w:hint="eastAsia"/>
                      <w:szCs w:val="21"/>
                    </w:rPr>
                    <w:t>连续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122" w:type="dxa"/>
                  <w:vMerge w:val="continue"/>
                  <w:vAlign w:val="center"/>
                </w:tcPr>
                <w:p>
                  <w:pPr>
                    <w:autoSpaceDE w:val="0"/>
                    <w:autoSpaceDN w:val="0"/>
                    <w:adjustRightInd w:val="0"/>
                    <w:snapToGrid w:val="0"/>
                    <w:jc w:val="center"/>
                    <w:rPr>
                      <w:szCs w:val="21"/>
                    </w:rPr>
                  </w:pPr>
                </w:p>
              </w:tc>
              <w:tc>
                <w:tcPr>
                  <w:tcW w:w="1526" w:type="dxa"/>
                  <w:vAlign w:val="center"/>
                </w:tcPr>
                <w:p>
                  <w:pPr>
                    <w:autoSpaceDE w:val="0"/>
                    <w:autoSpaceDN w:val="0"/>
                    <w:adjustRightInd w:val="0"/>
                    <w:snapToGrid w:val="0"/>
                    <w:jc w:val="center"/>
                    <w:rPr>
                      <w:szCs w:val="21"/>
                    </w:rPr>
                  </w:pPr>
                  <w:r>
                    <w:rPr>
                      <w:rFonts w:hint="eastAsia"/>
                      <w:szCs w:val="21"/>
                    </w:rPr>
                    <w:t>危废暂存间</w:t>
                  </w:r>
                </w:p>
              </w:tc>
              <w:tc>
                <w:tcPr>
                  <w:tcW w:w="1324" w:type="dxa"/>
                  <w:vAlign w:val="center"/>
                </w:tcPr>
                <w:p>
                  <w:pPr>
                    <w:autoSpaceDE w:val="0"/>
                    <w:autoSpaceDN w:val="0"/>
                    <w:adjustRightInd w:val="0"/>
                    <w:snapToGrid w:val="0"/>
                    <w:jc w:val="center"/>
                    <w:rPr>
                      <w:szCs w:val="21"/>
                    </w:rPr>
                  </w:pPr>
                  <w:r>
                    <w:rPr>
                      <w:rFonts w:hint="eastAsia"/>
                      <w:szCs w:val="21"/>
                    </w:rPr>
                    <w:t>垂直入渗</w:t>
                  </w:r>
                </w:p>
              </w:tc>
              <w:tc>
                <w:tcPr>
                  <w:tcW w:w="2143" w:type="dxa"/>
                  <w:vAlign w:val="center"/>
                </w:tcPr>
                <w:p>
                  <w:pPr>
                    <w:autoSpaceDE w:val="0"/>
                    <w:autoSpaceDN w:val="0"/>
                    <w:adjustRightInd w:val="0"/>
                    <w:snapToGrid w:val="0"/>
                    <w:jc w:val="center"/>
                    <w:rPr>
                      <w:szCs w:val="21"/>
                    </w:rPr>
                  </w:pPr>
                  <w:r>
                    <w:rPr>
                      <w:rFonts w:hint="eastAsia"/>
                      <w:szCs w:val="21"/>
                    </w:rPr>
                    <w:t>废机油、废润滑油</w:t>
                  </w:r>
                </w:p>
              </w:tc>
              <w:tc>
                <w:tcPr>
                  <w:tcW w:w="1103" w:type="dxa"/>
                  <w:vAlign w:val="center"/>
                </w:tcPr>
                <w:p>
                  <w:pPr>
                    <w:autoSpaceDE w:val="0"/>
                    <w:autoSpaceDN w:val="0"/>
                    <w:adjustRightInd w:val="0"/>
                    <w:snapToGrid w:val="0"/>
                    <w:jc w:val="center"/>
                    <w:rPr>
                      <w:szCs w:val="21"/>
                    </w:rPr>
                  </w:pPr>
                  <w:r>
                    <w:rPr>
                      <w:rFonts w:hint="eastAsia"/>
                      <w:szCs w:val="21"/>
                    </w:rPr>
                    <w:t>/</w:t>
                  </w:r>
                </w:p>
              </w:tc>
              <w:tc>
                <w:tcPr>
                  <w:tcW w:w="728" w:type="dxa"/>
                  <w:vAlign w:val="center"/>
                </w:tcPr>
                <w:p>
                  <w:pPr>
                    <w:autoSpaceDE w:val="0"/>
                    <w:autoSpaceDN w:val="0"/>
                    <w:adjustRightInd w:val="0"/>
                    <w:snapToGrid w:val="0"/>
                    <w:jc w:val="center"/>
                    <w:rPr>
                      <w:szCs w:val="21"/>
                    </w:rPr>
                  </w:pPr>
                  <w:r>
                    <w:rPr>
                      <w:rFonts w:hint="eastAsia"/>
                      <w:szCs w:val="21"/>
                    </w:rPr>
                    <w:t>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46" w:type="dxa"/>
                  <w:gridSpan w:val="6"/>
                  <w:vAlign w:val="center"/>
                </w:tcPr>
                <w:p>
                  <w:pPr>
                    <w:jc w:val="left"/>
                  </w:pPr>
                  <w:r>
                    <w:rPr>
                      <w:rFonts w:hint="eastAsia"/>
                    </w:rPr>
                    <w:t>a 根据工程分析结果填写</w:t>
                  </w:r>
                </w:p>
                <w:p>
                  <w:pPr>
                    <w:jc w:val="left"/>
                    <w:rPr>
                      <w:szCs w:val="21"/>
                    </w:rPr>
                  </w:pPr>
                  <w:r>
                    <w:rPr>
                      <w:rFonts w:hint="eastAsia"/>
                    </w:rPr>
                    <w:t>b 应描述污染源特征，如连续、间断、正常、事故等；涉及大气沉降途径的，应识别建设项目周边的土壤环境敏感目标</w:t>
                  </w:r>
                </w:p>
              </w:tc>
            </w:tr>
          </w:tbl>
          <w:p>
            <w:pPr>
              <w:autoSpaceDE w:val="0"/>
              <w:autoSpaceDN w:val="0"/>
              <w:adjustRightInd w:val="0"/>
              <w:snapToGrid w:val="0"/>
              <w:spacing w:line="360" w:lineRule="auto"/>
              <w:ind w:firstLine="480" w:firstLineChars="200"/>
              <w:jc w:val="left"/>
              <w:rPr>
                <w:sz w:val="24"/>
              </w:rPr>
            </w:pPr>
            <w:r>
              <w:rPr>
                <w:rFonts w:hint="eastAsia"/>
                <w:sz w:val="24"/>
              </w:rPr>
              <w:t>（2）土壤环境影响分析</w:t>
            </w:r>
          </w:p>
          <w:p>
            <w:pPr>
              <w:autoSpaceDE w:val="0"/>
              <w:autoSpaceDN w:val="0"/>
              <w:adjustRightInd w:val="0"/>
              <w:snapToGrid w:val="0"/>
              <w:spacing w:line="360" w:lineRule="auto"/>
              <w:ind w:firstLine="480" w:firstLineChars="200"/>
              <w:jc w:val="left"/>
              <w:rPr>
                <w:sz w:val="24"/>
              </w:rPr>
            </w:pPr>
            <w:r>
              <w:rPr>
                <w:rFonts w:hint="eastAsia"/>
                <w:sz w:val="24"/>
              </w:rPr>
              <w:t>根据本项目污染物排放特征及污染途径，仅定性分析本项目对土壤环境产生的影响。</w:t>
            </w:r>
          </w:p>
          <w:p>
            <w:pPr>
              <w:autoSpaceDE w:val="0"/>
              <w:autoSpaceDN w:val="0"/>
              <w:adjustRightInd w:val="0"/>
              <w:snapToGrid w:val="0"/>
              <w:spacing w:line="360" w:lineRule="auto"/>
              <w:ind w:firstLine="480" w:firstLineChars="200"/>
              <w:jc w:val="left"/>
              <w:rPr>
                <w:sz w:val="24"/>
              </w:rPr>
            </w:pPr>
            <w:r>
              <w:rPr>
                <w:rFonts w:hint="eastAsia"/>
                <w:sz w:val="24"/>
              </w:rPr>
              <w:t>①本项目废气排放的主要污染物为颗粒物、SO</w:t>
            </w:r>
            <w:r>
              <w:rPr>
                <w:rFonts w:hint="eastAsia"/>
                <w:sz w:val="24"/>
                <w:vertAlign w:val="subscript"/>
              </w:rPr>
              <w:t>2</w:t>
            </w:r>
            <w:r>
              <w:rPr>
                <w:rFonts w:hint="eastAsia"/>
                <w:sz w:val="24"/>
              </w:rPr>
              <w:t>、NO</w:t>
            </w:r>
            <w:r>
              <w:rPr>
                <w:rFonts w:hint="eastAsia"/>
                <w:sz w:val="24"/>
                <w:vertAlign w:val="subscript"/>
              </w:rPr>
              <w:t>X</w:t>
            </w:r>
            <w:r>
              <w:rPr>
                <w:rFonts w:hint="eastAsia"/>
                <w:sz w:val="24"/>
              </w:rPr>
              <w:t>，会通过大气干、湿沉降的方式进入周围的土壤，从而使局部土壤环境质量逐步受到污染影响。经</w:t>
            </w:r>
            <w:r>
              <w:rPr>
                <w:rFonts w:hint="eastAsia"/>
                <w:sz w:val="24"/>
                <w:lang w:val="en-US" w:eastAsia="zh-CN"/>
              </w:rPr>
              <w:t>计算</w:t>
            </w:r>
            <w:r>
              <w:rPr>
                <w:rFonts w:hint="eastAsia"/>
                <w:sz w:val="24"/>
              </w:rPr>
              <w:t>，废气排放对周边污染物的贡献浓度较低，占地范围内按照要求进行分区防渗，项目大气沉降不会对周边土壤产生明显影响。</w:t>
            </w:r>
          </w:p>
          <w:p>
            <w:pPr>
              <w:autoSpaceDE w:val="0"/>
              <w:autoSpaceDN w:val="0"/>
              <w:adjustRightInd w:val="0"/>
              <w:snapToGrid w:val="0"/>
              <w:spacing w:line="360" w:lineRule="auto"/>
              <w:ind w:firstLine="480" w:firstLineChars="200"/>
              <w:jc w:val="left"/>
              <w:rPr>
                <w:sz w:val="24"/>
              </w:rPr>
            </w:pPr>
            <w:r>
              <w:rPr>
                <w:rFonts w:hint="eastAsia"/>
                <w:sz w:val="24"/>
              </w:rPr>
              <w:t>②运营期，项目危险废物暂存间发生泄漏，如危废暂存间未采取防渗措施，污染物会经过表土入渗，再进入包气带对土壤环境造成影响，因此建设单位应严格落实各项环境保护措施，按要求对厂区地面进行分区防渗处理，加强厂区管理，定期对各重点防渗区进行检查，保证物料泄漏时能够及时应对，防止物料泄漏对土壤产生不良影响。</w:t>
            </w:r>
          </w:p>
          <w:p>
            <w:pPr>
              <w:spacing w:line="360" w:lineRule="auto"/>
              <w:ind w:firstLine="480" w:firstLineChars="200"/>
              <w:rPr>
                <w:b/>
                <w:bCs/>
                <w:snapToGrid w:val="0"/>
                <w:kern w:val="0"/>
                <w:sz w:val="24"/>
              </w:rPr>
            </w:pPr>
            <w:r>
              <w:rPr>
                <w:rFonts w:hint="eastAsia"/>
                <w:sz w:val="24"/>
              </w:rPr>
              <w:t>综上所述，评价认为正常情况下，本项目对土壤环境影响较小。</w:t>
            </w:r>
          </w:p>
          <w:p>
            <w:pPr>
              <w:adjustRightInd w:val="0"/>
              <w:snapToGrid w:val="0"/>
              <w:spacing w:before="120" w:beforeLines="50" w:line="360" w:lineRule="auto"/>
              <w:ind w:firstLine="482" w:firstLineChars="200"/>
              <w:jc w:val="left"/>
              <w:rPr>
                <w:b/>
                <w:snapToGrid w:val="0"/>
                <w:kern w:val="0"/>
                <w:sz w:val="24"/>
              </w:rPr>
            </w:pPr>
            <w:r>
              <w:rPr>
                <w:rFonts w:hint="eastAsia"/>
                <w:b/>
                <w:snapToGrid w:val="0"/>
                <w:kern w:val="0"/>
                <w:sz w:val="24"/>
              </w:rPr>
              <w:t>7 环境风险分析</w:t>
            </w:r>
          </w:p>
          <w:p>
            <w:pPr>
              <w:adjustRightInd w:val="0"/>
              <w:snapToGrid w:val="0"/>
              <w:spacing w:line="360" w:lineRule="auto"/>
              <w:ind w:firstLine="482" w:firstLineChars="200"/>
              <w:jc w:val="left"/>
              <w:rPr>
                <w:rFonts w:hint="default"/>
                <w:b/>
                <w:snapToGrid w:val="0"/>
                <w:kern w:val="0"/>
                <w:sz w:val="24"/>
              </w:rPr>
            </w:pPr>
            <w:bookmarkStart w:id="7" w:name="_Toc16142"/>
            <w:bookmarkStart w:id="8" w:name="_Toc5706"/>
            <w:r>
              <w:rPr>
                <w:rFonts w:hint="eastAsia"/>
                <w:b/>
                <w:snapToGrid w:val="0"/>
                <w:kern w:val="0"/>
                <w:sz w:val="24"/>
                <w:lang w:val="en-US" w:eastAsia="zh-CN"/>
              </w:rPr>
              <w:t>7</w:t>
            </w:r>
            <w:r>
              <w:rPr>
                <w:rFonts w:hint="default"/>
                <w:b/>
                <w:snapToGrid w:val="0"/>
                <w:kern w:val="0"/>
                <w:sz w:val="24"/>
              </w:rPr>
              <w:t>.1</w:t>
            </w:r>
            <w:bookmarkEnd w:id="7"/>
            <w:r>
              <w:rPr>
                <w:rFonts w:hint="eastAsia"/>
                <w:b/>
                <w:snapToGrid w:val="0"/>
                <w:kern w:val="0"/>
                <w:sz w:val="24"/>
              </w:rPr>
              <w:t>风险识别</w:t>
            </w:r>
            <w:bookmarkEnd w:id="8"/>
          </w:p>
          <w:p>
            <w:pPr>
              <w:spacing w:line="360" w:lineRule="auto"/>
              <w:ind w:firstLine="480" w:firstLineChars="200"/>
              <w:rPr>
                <w:rFonts w:hint="default"/>
                <w:sz w:val="24"/>
              </w:rPr>
            </w:pPr>
            <w:r>
              <w:rPr>
                <w:rFonts w:hint="eastAsia"/>
                <w:sz w:val="24"/>
              </w:rPr>
              <w:t>（</w:t>
            </w:r>
            <w:r>
              <w:rPr>
                <w:rFonts w:hint="default"/>
                <w:sz w:val="24"/>
              </w:rPr>
              <w:t>1</w:t>
            </w:r>
            <w:r>
              <w:rPr>
                <w:rFonts w:hint="eastAsia"/>
                <w:sz w:val="24"/>
              </w:rPr>
              <w:t>）物质危险性识别</w:t>
            </w:r>
          </w:p>
          <w:p>
            <w:pPr>
              <w:spacing w:line="360" w:lineRule="auto"/>
              <w:ind w:firstLine="480" w:firstLineChars="200"/>
              <w:rPr>
                <w:rFonts w:hint="eastAsia"/>
                <w:sz w:val="24"/>
              </w:rPr>
            </w:pPr>
            <w:r>
              <w:rPr>
                <w:rFonts w:hint="eastAsia"/>
                <w:sz w:val="24"/>
              </w:rPr>
              <w:t>本项目涉及的风险物质主要是天然气，理化性质见表</w:t>
            </w:r>
            <w:r>
              <w:rPr>
                <w:rFonts w:hint="eastAsia"/>
                <w:sz w:val="24"/>
                <w:lang w:val="en-US" w:eastAsia="zh-CN"/>
              </w:rPr>
              <w:t>4-23</w:t>
            </w:r>
            <w:r>
              <w:rPr>
                <w:rFonts w:hint="eastAsia"/>
                <w:sz w:val="24"/>
              </w:rPr>
              <w:t>。</w:t>
            </w: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eastAsia"/>
                <w:sz w:val="24"/>
              </w:rPr>
            </w:pPr>
          </w:p>
          <w:p>
            <w:pPr>
              <w:spacing w:line="360" w:lineRule="auto"/>
              <w:ind w:firstLine="480" w:firstLineChars="200"/>
              <w:rPr>
                <w:rFonts w:hint="default"/>
                <w:sz w:val="24"/>
              </w:rPr>
            </w:pPr>
          </w:p>
          <w:p>
            <w:pPr>
              <w:spacing w:line="360" w:lineRule="auto"/>
              <w:ind w:firstLine="482" w:firstLineChars="200"/>
              <w:jc w:val="center"/>
              <w:rPr>
                <w:rFonts w:hint="default"/>
                <w:b/>
                <w:color w:val="000000"/>
                <w:sz w:val="24"/>
              </w:rPr>
            </w:pPr>
            <w:r>
              <w:rPr>
                <w:rFonts w:hint="eastAsia"/>
                <w:b/>
                <w:color w:val="000000"/>
                <w:sz w:val="24"/>
              </w:rPr>
              <w:t>表</w:t>
            </w:r>
            <w:r>
              <w:rPr>
                <w:rFonts w:hint="eastAsia"/>
                <w:b/>
                <w:color w:val="000000"/>
                <w:sz w:val="24"/>
                <w:lang w:val="en-US" w:eastAsia="zh-CN"/>
              </w:rPr>
              <w:t>4-23</w:t>
            </w:r>
            <w:r>
              <w:rPr>
                <w:rFonts w:hint="default"/>
                <w:b/>
                <w:color w:val="000000"/>
                <w:sz w:val="24"/>
              </w:rPr>
              <w:t xml:space="preserve">    </w:t>
            </w:r>
            <w:r>
              <w:rPr>
                <w:rFonts w:hint="eastAsia"/>
                <w:b/>
                <w:color w:val="000000"/>
                <w:sz w:val="24"/>
              </w:rPr>
              <w:t>液化天然气的理化性质及危险特性</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1650"/>
              <w:gridCol w:w="547"/>
              <w:gridCol w:w="534"/>
              <w:gridCol w:w="209"/>
              <w:gridCol w:w="1127"/>
              <w:gridCol w:w="581"/>
              <w:gridCol w:w="1"/>
              <w:gridCol w:w="1975"/>
              <w:gridCol w:w="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标识</w:t>
                  </w:r>
                </w:p>
              </w:tc>
              <w:tc>
                <w:tcPr>
                  <w:tcW w:w="4649" w:type="dxa"/>
                  <w:gridSpan w:val="7"/>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left"/>
                    <w:rPr>
                      <w:rFonts w:hint="default"/>
                      <w:sz w:val="21"/>
                    </w:rPr>
                  </w:pPr>
                  <w:r>
                    <w:rPr>
                      <w:rFonts w:hint="eastAsia"/>
                      <w:sz w:val="21"/>
                    </w:rPr>
                    <w:t>中文名：天然气</w:t>
                  </w:r>
                  <w:r>
                    <w:rPr>
                      <w:rFonts w:hint="default"/>
                      <w:sz w:val="21"/>
                    </w:rPr>
                    <w:t>[</w:t>
                  </w:r>
                  <w:r>
                    <w:rPr>
                      <w:rFonts w:hint="eastAsia"/>
                      <w:sz w:val="21"/>
                    </w:rPr>
                    <w:t>含甲烷，液化的</w:t>
                  </w:r>
                  <w:r>
                    <w:rPr>
                      <w:rFonts w:hint="default"/>
                      <w:sz w:val="21"/>
                    </w:rPr>
                    <w:t>]</w:t>
                  </w:r>
                  <w:r>
                    <w:rPr>
                      <w:rFonts w:hint="eastAsia"/>
                      <w:sz w:val="21"/>
                    </w:rPr>
                    <w:t>；液化天然气</w:t>
                  </w:r>
                </w:p>
              </w:tc>
              <w:tc>
                <w:tcPr>
                  <w:tcW w:w="2625"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危险货物编号：</w:t>
                  </w:r>
                  <w:r>
                    <w:rPr>
                      <w:rFonts w:hint="default"/>
                      <w:sz w:val="21"/>
                    </w:rPr>
                    <w:t>21008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2731"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left"/>
                    <w:rPr>
                      <w:rFonts w:hint="default"/>
                      <w:sz w:val="21"/>
                    </w:rPr>
                  </w:pPr>
                  <w:r>
                    <w:rPr>
                      <w:rFonts w:hint="eastAsia"/>
                      <w:sz w:val="21"/>
                    </w:rPr>
                    <w:t>分子式：</w:t>
                  </w:r>
                  <w:r>
                    <w:rPr>
                      <w:rFonts w:hint="default"/>
                      <w:sz w:val="21"/>
                    </w:rPr>
                    <w:t>/</w:t>
                  </w:r>
                </w:p>
              </w:tc>
              <w:tc>
                <w:tcPr>
                  <w:tcW w:w="1918" w:type="dxa"/>
                  <w:gridSpan w:val="4"/>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left"/>
                    <w:rPr>
                      <w:rFonts w:hint="default"/>
                      <w:sz w:val="21"/>
                    </w:rPr>
                  </w:pPr>
                  <w:r>
                    <w:rPr>
                      <w:rFonts w:hint="eastAsia"/>
                      <w:sz w:val="21"/>
                    </w:rPr>
                    <w:t>分子量：</w:t>
                  </w:r>
                  <w:r>
                    <w:rPr>
                      <w:rFonts w:hint="default"/>
                      <w:sz w:val="21"/>
                    </w:rPr>
                    <w:t>/</w:t>
                  </w:r>
                </w:p>
              </w:tc>
              <w:tc>
                <w:tcPr>
                  <w:tcW w:w="2625"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CAS</w:t>
                  </w:r>
                  <w:r>
                    <w:rPr>
                      <w:rFonts w:hint="eastAsia"/>
                      <w:sz w:val="21"/>
                    </w:rPr>
                    <w:t>号：</w:t>
                  </w:r>
                  <w:r>
                    <w:rPr>
                      <w:rFonts w:hint="default"/>
                      <w:sz w:val="21"/>
                    </w:rPr>
                    <w:t>8006-14-2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理化性质</w:t>
                  </w: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外观与性状</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无色无臭液体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熔点（℃）</w:t>
                  </w:r>
                </w:p>
              </w:tc>
              <w:tc>
                <w:tcPr>
                  <w:tcW w:w="547"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c>
                <w:tcPr>
                  <w:tcW w:w="1870"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相对密度（水</w:t>
                  </w:r>
                  <w:r>
                    <w:rPr>
                      <w:rFonts w:hint="default"/>
                      <w:sz w:val="21"/>
                    </w:rPr>
                    <w:t>=1</w:t>
                  </w:r>
                  <w:r>
                    <w:rPr>
                      <w:rFonts w:hint="eastAsia"/>
                      <w:sz w:val="21"/>
                    </w:rPr>
                    <w:t>）</w:t>
                  </w:r>
                </w:p>
              </w:tc>
              <w:tc>
                <w:tcPr>
                  <w:tcW w:w="581"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0.45</w:t>
                  </w:r>
                </w:p>
              </w:tc>
              <w:tc>
                <w:tcPr>
                  <w:tcW w:w="1976"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相对密度（空气</w:t>
                  </w:r>
                  <w:r>
                    <w:rPr>
                      <w:rFonts w:hint="default"/>
                      <w:sz w:val="21"/>
                    </w:rPr>
                    <w:t>=1</w:t>
                  </w:r>
                  <w:r>
                    <w:rPr>
                      <w:rFonts w:hint="eastAsia"/>
                      <w:sz w:val="21"/>
                    </w:rPr>
                    <w:t>）</w:t>
                  </w:r>
                </w:p>
              </w:tc>
              <w:tc>
                <w:tcPr>
                  <w:tcW w:w="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沸点（℃）</w:t>
                  </w:r>
                </w:p>
              </w:tc>
              <w:tc>
                <w:tcPr>
                  <w:tcW w:w="2998" w:type="dxa"/>
                  <w:gridSpan w:val="5"/>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-160~-164</w:t>
                  </w:r>
                </w:p>
              </w:tc>
              <w:tc>
                <w:tcPr>
                  <w:tcW w:w="1976"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饱和蒸气压（</w:t>
                  </w:r>
                  <w:r>
                    <w:rPr>
                      <w:rFonts w:hint="default"/>
                      <w:sz w:val="21"/>
                    </w:rPr>
                    <w:t>KPa</w:t>
                  </w:r>
                  <w:r>
                    <w:rPr>
                      <w:rFonts w:hint="eastAsia"/>
                      <w:sz w:val="21"/>
                    </w:rPr>
                    <w:t>）</w:t>
                  </w:r>
                </w:p>
              </w:tc>
              <w:tc>
                <w:tcPr>
                  <w:tcW w:w="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溶解性</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毒性及健康危害</w:t>
                  </w:r>
                </w:p>
              </w:tc>
              <w:tc>
                <w:tcPr>
                  <w:tcW w:w="1650"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毒性</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rPr>
                      <w:rFonts w:hint="default"/>
                      <w:sz w:val="21"/>
                    </w:rPr>
                  </w:pPr>
                  <w:r>
                    <w:rPr>
                      <w:rFonts w:hint="default"/>
                      <w:sz w:val="21"/>
                    </w:rPr>
                    <w:t>LD</w:t>
                  </w:r>
                  <w:r>
                    <w:rPr>
                      <w:rFonts w:hint="default"/>
                      <w:sz w:val="21"/>
                      <w:vertAlign w:val="subscript"/>
                    </w:rPr>
                    <w:t>50</w:t>
                  </w:r>
                  <w:r>
                    <w:rPr>
                      <w:rFonts w:hint="eastAsia"/>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rPr>
                      <w:rFonts w:hint="default"/>
                      <w:sz w:val="21"/>
                    </w:rPr>
                  </w:pPr>
                  <w:r>
                    <w:rPr>
                      <w:rFonts w:hint="default"/>
                      <w:sz w:val="21"/>
                    </w:rPr>
                    <w:t>LC</w:t>
                  </w:r>
                  <w:r>
                    <w:rPr>
                      <w:rFonts w:hint="default"/>
                      <w:sz w:val="21"/>
                      <w:vertAlign w:val="subscript"/>
                    </w:rPr>
                    <w:t>50</w:t>
                  </w:r>
                  <w:r>
                    <w:rPr>
                      <w:rFonts w:hint="eastAsia"/>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健康危害</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jc w:val="left"/>
                    <w:rPr>
                      <w:rFonts w:hint="default"/>
                      <w:sz w:val="21"/>
                    </w:rPr>
                  </w:pPr>
                  <w:r>
                    <w:rPr>
                      <w:rFonts w:hint="eastAsia"/>
                      <w:sz w:val="21"/>
                    </w:rPr>
                    <w:t>天然气主要由甲烷组成，其性质与纯甲烷相似，属“单纯窒息性”气体，高浓度时因缺氧而引起窒息。液化天然气与皮肤接触会造成严重灼伤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急救方法</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jc w:val="left"/>
                    <w:rPr>
                      <w:rFonts w:hint="default"/>
                      <w:sz w:val="21"/>
                    </w:rPr>
                  </w:pPr>
                  <w:r>
                    <w:rPr>
                      <w:rFonts w:hint="eastAsia"/>
                      <w:sz w:val="21"/>
                    </w:rPr>
                    <w:t>应使吸入天然气的患者脱离污染区，安置休息并保暖；当呼吸失调时进行输氧；如呼吸停止，应先清洗口腔和呼吸道中的粘液及呕吐物，然后立即进行口对口人工呼吸，并送医院急救；液体与皮肤接触时用水冲洗，如产生冻疮，就医诊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燃烧爆炸危险性</w:t>
                  </w: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燃烧性</w:t>
                  </w:r>
                </w:p>
              </w:tc>
              <w:tc>
                <w:tcPr>
                  <w:tcW w:w="1290"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易燃</w:t>
                  </w:r>
                </w:p>
              </w:tc>
              <w:tc>
                <w:tcPr>
                  <w:tcW w:w="170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燃烧分解物</w:t>
                  </w:r>
                </w:p>
              </w:tc>
              <w:tc>
                <w:tcPr>
                  <w:tcW w:w="2626"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闪点（℃）</w:t>
                  </w:r>
                </w:p>
              </w:tc>
              <w:tc>
                <w:tcPr>
                  <w:tcW w:w="1290"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c>
                <w:tcPr>
                  <w:tcW w:w="170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爆炸上限（</w:t>
                  </w:r>
                  <w:r>
                    <w:rPr>
                      <w:rFonts w:hint="default"/>
                      <w:sz w:val="21"/>
                    </w:rPr>
                    <w:t>v%</w:t>
                  </w:r>
                  <w:r>
                    <w:rPr>
                      <w:rFonts w:hint="eastAsia"/>
                      <w:sz w:val="21"/>
                    </w:rPr>
                    <w:t>）</w:t>
                  </w:r>
                </w:p>
              </w:tc>
              <w:tc>
                <w:tcPr>
                  <w:tcW w:w="2626"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14</w:t>
                  </w:r>
                  <w:r>
                    <w:rPr>
                      <w:rFonts w:hint="eastAsia"/>
                      <w:sz w:val="21"/>
                    </w:rPr>
                    <w:t>（室温时）；</w:t>
                  </w:r>
                  <w:r>
                    <w:rPr>
                      <w:rFonts w:hint="default"/>
                      <w:sz w:val="21"/>
                    </w:rPr>
                    <w:t>13</w:t>
                  </w:r>
                  <w:r>
                    <w:rPr>
                      <w:rFonts w:hint="eastAsia"/>
                      <w:sz w:val="21"/>
                    </w:rPr>
                    <w:t>（</w:t>
                  </w:r>
                  <w:r>
                    <w:rPr>
                      <w:rFonts w:hint="default"/>
                      <w:sz w:val="21"/>
                    </w:rPr>
                    <w:t>-162</w:t>
                  </w:r>
                  <w:r>
                    <w:rPr>
                      <w:rFonts w:hint="eastAsia"/>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引燃温度（℃）</w:t>
                  </w:r>
                </w:p>
              </w:tc>
              <w:tc>
                <w:tcPr>
                  <w:tcW w:w="1290"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w:t>
                  </w:r>
                </w:p>
              </w:tc>
              <w:tc>
                <w:tcPr>
                  <w:tcW w:w="1708" w:type="dxa"/>
                  <w:gridSpan w:val="2"/>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爆炸下限（</w:t>
                  </w:r>
                  <w:r>
                    <w:rPr>
                      <w:rFonts w:hint="default"/>
                      <w:sz w:val="21"/>
                    </w:rPr>
                    <w:t>v%</w:t>
                  </w:r>
                  <w:r>
                    <w:rPr>
                      <w:rFonts w:hint="eastAsia"/>
                      <w:sz w:val="21"/>
                    </w:rPr>
                    <w:t>）</w:t>
                  </w:r>
                </w:p>
              </w:tc>
              <w:tc>
                <w:tcPr>
                  <w:tcW w:w="2626" w:type="dxa"/>
                  <w:gridSpan w:val="3"/>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default"/>
                      <w:sz w:val="21"/>
                    </w:rPr>
                    <w:t>5</w:t>
                  </w:r>
                  <w:r>
                    <w:rPr>
                      <w:rFonts w:hint="eastAsia"/>
                      <w:sz w:val="21"/>
                    </w:rPr>
                    <w:t>（室温时）；</w:t>
                  </w:r>
                  <w:r>
                    <w:rPr>
                      <w:rFonts w:hint="default"/>
                      <w:sz w:val="21"/>
                    </w:rPr>
                    <w:t>6</w:t>
                  </w:r>
                  <w:r>
                    <w:rPr>
                      <w:rFonts w:hint="eastAsia"/>
                      <w:sz w:val="21"/>
                    </w:rPr>
                    <w:t>（</w:t>
                  </w:r>
                  <w:r>
                    <w:rPr>
                      <w:rFonts w:hint="default"/>
                      <w:sz w:val="21"/>
                    </w:rPr>
                    <w:t>-162</w:t>
                  </w:r>
                  <w:r>
                    <w:rPr>
                      <w:rFonts w:hint="eastAsia"/>
                      <w:sz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危险特性</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jc w:val="left"/>
                    <w:rPr>
                      <w:rFonts w:hint="default"/>
                      <w:sz w:val="21"/>
                    </w:rPr>
                  </w:pPr>
                  <w:r>
                    <w:rPr>
                      <w:rFonts w:hint="eastAsia"/>
                      <w:sz w:val="21"/>
                    </w:rPr>
                    <w:t>极易燃；蒸气能与空气形成爆炸性混合物；当液化天然气由液体蒸发为冷的气体时，其密度与常温下的天然气不同，约比空气重</w:t>
                  </w:r>
                  <w:r>
                    <w:rPr>
                      <w:rFonts w:hint="default"/>
                      <w:sz w:val="21"/>
                    </w:rPr>
                    <w:t>1.5</w:t>
                  </w:r>
                  <w:r>
                    <w:rPr>
                      <w:rFonts w:hint="eastAsia"/>
                      <w:sz w:val="21"/>
                    </w:rPr>
                    <w:t>倍，其气体不会立即上升，而是沿着液面或地面扩散，吸收水与地面的热量以及大气与太阳的辐射热，形成白色云团。由雾可察觉冷气的扩散情况，但在可见雾的范围之外，仍有易燃混合物存在。如易燃混合物扩散到火源，就会立即闪回燃着。当冷气温热至</w:t>
                  </w:r>
                  <w:r>
                    <w:rPr>
                      <w:rFonts w:hint="default"/>
                      <w:sz w:val="21"/>
                    </w:rPr>
                    <w:t>-112</w:t>
                  </w:r>
                  <w:r>
                    <w:rPr>
                      <w:rFonts w:hint="eastAsia"/>
                      <w:sz w:val="21"/>
                    </w:rPr>
                    <w:t>℃左右，就变得比空气轻，开始向上升。液化天然气遇水生成白色冰块，冰块只能在低温下保存，温度升高即迅速蒸发，如急剧扰动能猛烈爆喷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储运条件与泄漏处理</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jc w:val="left"/>
                    <w:rPr>
                      <w:rFonts w:hint="default"/>
                      <w:sz w:val="21"/>
                    </w:rPr>
                  </w:pPr>
                  <w:r>
                    <w:rPr>
                      <w:rFonts w:hint="eastAsia"/>
                      <w:sz w:val="21"/>
                    </w:rPr>
                    <w:t>储运条件：液化天然气应在大气压下稍高于沸点温度</w:t>
                  </w:r>
                  <w:r>
                    <w:rPr>
                      <w:rFonts w:hint="default"/>
                      <w:sz w:val="21"/>
                    </w:rPr>
                    <w:t>(-160</w:t>
                  </w:r>
                  <w:r>
                    <w:rPr>
                      <w:rFonts w:hint="eastAsia"/>
                      <w:sz w:val="21"/>
                    </w:rPr>
                    <w:t>℃</w:t>
                  </w:r>
                  <w:r>
                    <w:rPr>
                      <w:rFonts w:hint="default"/>
                      <w:sz w:val="21"/>
                    </w:rPr>
                    <w:t>)</w:t>
                  </w:r>
                  <w:r>
                    <w:rPr>
                      <w:rFonts w:hint="eastAsia"/>
                      <w:sz w:val="21"/>
                    </w:rPr>
                    <w:t>下用绝缘槽车或槽式驳船运输；用大型保温气柜在接近大气压并在相应的低温</w:t>
                  </w:r>
                  <w:r>
                    <w:rPr>
                      <w:rFonts w:hint="default"/>
                      <w:sz w:val="21"/>
                    </w:rPr>
                    <w:t>(-160</w:t>
                  </w:r>
                  <w:r>
                    <w:rPr>
                      <w:rFonts w:hint="eastAsia"/>
                      <w:sz w:val="21"/>
                    </w:rPr>
                    <w:t>～</w:t>
                  </w:r>
                  <w:r>
                    <w:rPr>
                      <w:rFonts w:hint="default"/>
                      <w:sz w:val="21"/>
                    </w:rPr>
                    <w:t>-164</w:t>
                  </w:r>
                  <w:r>
                    <w:rPr>
                      <w:rFonts w:hint="eastAsia"/>
                      <w:sz w:val="21"/>
                    </w:rPr>
                    <w:t>℃</w:t>
                  </w:r>
                  <w:r>
                    <w:rPr>
                      <w:rFonts w:hint="default"/>
                      <w:sz w:val="21"/>
                    </w:rPr>
                    <w:t>)</w:t>
                  </w:r>
                  <w:r>
                    <w:rPr>
                      <w:rFonts w:hint="eastAsia"/>
                      <w:sz w:val="21"/>
                    </w:rPr>
                    <w:t>下储存，远离火种、热源，并备有防泄漏的专门仪器；钢瓶应储存在阴凉、通风良好的专用库房内，与五氟化溴、氯气、二氧化氯、三氟化氮、液氧、二氟化氧、氧化剂隔离储运</w:t>
                  </w:r>
                </w:p>
                <w:p>
                  <w:pPr>
                    <w:jc w:val="left"/>
                    <w:rPr>
                      <w:rFonts w:hint="default"/>
                      <w:sz w:val="21"/>
                    </w:rPr>
                  </w:pPr>
                  <w:r>
                    <w:rPr>
                      <w:rFonts w:hint="eastAsia"/>
                      <w:sz w:val="21"/>
                    </w:rPr>
                    <w:t>泄漏处理：切断火源，勿使其燃烧，同时关闭阀门等，制止渗漏；并用雾状水保护阀门人员；操作时必须穿戴防毒面具与手套。对残余废气或钢瓶泄露出气要用排风机排至空旷地方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62"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p>
              </w:tc>
              <w:tc>
                <w:tcPr>
                  <w:tcW w:w="1650" w:type="dxa"/>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灭火方法</w:t>
                  </w:r>
                </w:p>
              </w:tc>
              <w:tc>
                <w:tcPr>
                  <w:tcW w:w="5624" w:type="dxa"/>
                  <w:gridSpan w:val="8"/>
                  <w:tcBorders>
                    <w:top w:val="single" w:color="auto" w:sz="4" w:space="0"/>
                    <w:left w:val="single" w:color="auto" w:sz="4" w:space="0"/>
                    <w:bottom w:val="single" w:color="auto" w:sz="4" w:space="0"/>
                    <w:right w:val="single" w:color="auto" w:sz="4" w:space="0"/>
                    <w:tl2br w:val="nil"/>
                    <w:tr2bl w:val="nil"/>
                  </w:tcBorders>
                  <w:vAlign w:val="center"/>
                </w:tcPr>
                <w:p>
                  <w:pPr>
                    <w:pStyle w:val="47"/>
                    <w:spacing w:line="240" w:lineRule="auto"/>
                    <w:ind w:firstLine="0" w:firstLineChars="0"/>
                    <w:jc w:val="center"/>
                    <w:rPr>
                      <w:rFonts w:hint="default"/>
                      <w:sz w:val="21"/>
                    </w:rPr>
                  </w:pPr>
                  <w:r>
                    <w:rPr>
                      <w:rFonts w:hint="eastAsia"/>
                      <w:sz w:val="21"/>
                    </w:rPr>
                    <w:t>用泡沫、雾状水、二氧化碳、干粉</w:t>
                  </w:r>
                </w:p>
              </w:tc>
            </w:tr>
          </w:tbl>
          <w:p>
            <w:pPr>
              <w:spacing w:line="360" w:lineRule="auto"/>
              <w:ind w:firstLine="480" w:firstLineChars="200"/>
              <w:rPr>
                <w:rFonts w:hint="default"/>
                <w:sz w:val="24"/>
              </w:rPr>
            </w:pPr>
            <w:r>
              <w:rPr>
                <w:rFonts w:hint="eastAsia"/>
                <w:sz w:val="24"/>
              </w:rPr>
              <w:t>（</w:t>
            </w:r>
            <w:r>
              <w:rPr>
                <w:rFonts w:hint="default"/>
                <w:sz w:val="24"/>
              </w:rPr>
              <w:t>2</w:t>
            </w:r>
            <w:r>
              <w:rPr>
                <w:rFonts w:hint="eastAsia"/>
                <w:sz w:val="24"/>
              </w:rPr>
              <w:t>）生产系统危险性识别</w:t>
            </w:r>
          </w:p>
          <w:p>
            <w:pPr>
              <w:spacing w:line="360" w:lineRule="auto"/>
              <w:ind w:firstLine="480" w:firstLineChars="200"/>
              <w:rPr>
                <w:rFonts w:hint="default"/>
                <w:sz w:val="24"/>
              </w:rPr>
            </w:pPr>
            <w:r>
              <w:rPr>
                <w:rFonts w:hint="eastAsia"/>
                <w:sz w:val="24"/>
              </w:rPr>
              <w:t>本项目涉及到的风险物质主要为天然气，生产过程中可能出现天然气阀门、管线破损</w:t>
            </w:r>
            <w:r>
              <w:rPr>
                <w:rFonts w:hint="eastAsia"/>
                <w:sz w:val="24"/>
                <w:lang w:val="en-US" w:eastAsia="zh-CN"/>
              </w:rPr>
              <w:t>等</w:t>
            </w:r>
            <w:r>
              <w:rPr>
                <w:rFonts w:hint="eastAsia"/>
                <w:sz w:val="24"/>
              </w:rPr>
              <w:t>导致天然气泄漏的情况，当达到爆炸极限时，遇火源会引发爆炸，产生高温高压冲击波，产生破坏作用；天然气不完全燃烧产生</w:t>
            </w:r>
            <w:r>
              <w:rPr>
                <w:rFonts w:hint="default"/>
                <w:sz w:val="24"/>
              </w:rPr>
              <w:t>CO</w:t>
            </w:r>
            <w:r>
              <w:rPr>
                <w:rFonts w:hint="eastAsia"/>
                <w:sz w:val="24"/>
              </w:rPr>
              <w:t>，与人体血红蛋白结合会导致人体缺氧窒息。</w:t>
            </w:r>
          </w:p>
          <w:p>
            <w:pPr>
              <w:adjustRightInd w:val="0"/>
              <w:snapToGrid w:val="0"/>
              <w:spacing w:line="360" w:lineRule="auto"/>
              <w:ind w:firstLine="482" w:firstLineChars="200"/>
              <w:jc w:val="left"/>
              <w:rPr>
                <w:rFonts w:hint="default"/>
                <w:b/>
                <w:snapToGrid w:val="0"/>
                <w:kern w:val="0"/>
                <w:sz w:val="24"/>
              </w:rPr>
            </w:pPr>
            <w:bookmarkStart w:id="9" w:name="_Toc4657"/>
            <w:r>
              <w:rPr>
                <w:rFonts w:hint="eastAsia"/>
                <w:b/>
                <w:snapToGrid w:val="0"/>
                <w:kern w:val="0"/>
                <w:sz w:val="24"/>
                <w:lang w:val="en-US" w:eastAsia="zh-CN"/>
              </w:rPr>
              <w:t>7</w:t>
            </w:r>
            <w:r>
              <w:rPr>
                <w:rFonts w:hint="default"/>
                <w:b/>
                <w:snapToGrid w:val="0"/>
                <w:kern w:val="0"/>
                <w:sz w:val="24"/>
              </w:rPr>
              <w:t>.2</w:t>
            </w:r>
            <w:r>
              <w:rPr>
                <w:rFonts w:hint="eastAsia"/>
                <w:b/>
                <w:snapToGrid w:val="0"/>
                <w:kern w:val="0"/>
                <w:sz w:val="24"/>
              </w:rPr>
              <w:t>风险潜势判断及评价等级</w:t>
            </w:r>
            <w:bookmarkEnd w:id="9"/>
          </w:p>
          <w:p>
            <w:pPr>
              <w:spacing w:line="360" w:lineRule="auto"/>
              <w:ind w:firstLine="480" w:firstLineChars="200"/>
              <w:rPr>
                <w:rFonts w:hint="eastAsia" w:eastAsia="宋体"/>
                <w:sz w:val="24"/>
                <w:lang w:val="en-US" w:eastAsia="zh-CN"/>
              </w:rPr>
            </w:pPr>
            <w:r>
              <w:rPr>
                <w:rFonts w:hint="eastAsia"/>
                <w:sz w:val="24"/>
              </w:rPr>
              <w:t>（</w:t>
            </w:r>
            <w:r>
              <w:rPr>
                <w:rFonts w:hint="default"/>
                <w:sz w:val="24"/>
              </w:rPr>
              <w:t>1</w:t>
            </w:r>
            <w:r>
              <w:rPr>
                <w:rFonts w:hint="eastAsia"/>
                <w:sz w:val="24"/>
              </w:rPr>
              <w:t>）</w:t>
            </w:r>
            <w:r>
              <w:rPr>
                <w:rFonts w:hint="eastAsia"/>
                <w:sz w:val="24"/>
                <w:lang w:val="en-US" w:eastAsia="zh-CN"/>
              </w:rPr>
              <w:t>风险潜势判断</w:t>
            </w:r>
          </w:p>
          <w:p>
            <w:pPr>
              <w:spacing w:line="360" w:lineRule="auto"/>
              <w:ind w:firstLine="480" w:firstLineChars="200"/>
              <w:rPr>
                <w:rFonts w:hint="eastAsia"/>
                <w:sz w:val="24"/>
                <w:lang w:eastAsia="zh-CN"/>
              </w:rPr>
            </w:pPr>
            <w:r>
              <w:rPr>
                <w:rFonts w:hint="eastAsia"/>
                <w:sz w:val="24"/>
              </w:rPr>
              <w:t>根据环境风险分析可知，本项目涉及到的《建设项目环境风险评价技术导则》（</w:t>
            </w:r>
            <w:r>
              <w:rPr>
                <w:rFonts w:hint="default"/>
                <w:sz w:val="24"/>
              </w:rPr>
              <w:t>HJ169-2018</w:t>
            </w:r>
            <w:r>
              <w:rPr>
                <w:rFonts w:hint="eastAsia"/>
                <w:sz w:val="24"/>
              </w:rPr>
              <w:t>）附录</w:t>
            </w:r>
            <w:r>
              <w:rPr>
                <w:rFonts w:hint="default"/>
                <w:sz w:val="24"/>
              </w:rPr>
              <w:t>B</w:t>
            </w:r>
            <w:r>
              <w:rPr>
                <w:rFonts w:hint="eastAsia"/>
                <w:sz w:val="24"/>
              </w:rPr>
              <w:t>中的环境风险物质为天然气（主要成分为甲烷）</w:t>
            </w:r>
            <w:r>
              <w:rPr>
                <w:rFonts w:hint="eastAsia"/>
                <w:sz w:val="24"/>
                <w:lang w:eastAsia="zh-CN"/>
              </w:rPr>
              <w:t>。</w:t>
            </w:r>
          </w:p>
          <w:p>
            <w:pPr>
              <w:spacing w:line="360" w:lineRule="auto"/>
              <w:ind w:firstLine="480" w:firstLineChars="200"/>
              <w:rPr>
                <w:rFonts w:hint="default"/>
                <w:sz w:val="24"/>
                <w:lang w:val="en-US"/>
              </w:rPr>
            </w:pPr>
            <w:r>
              <w:rPr>
                <w:rFonts w:hint="eastAsia"/>
                <w:sz w:val="24"/>
                <w:lang w:val="en-US" w:eastAsia="zh-CN"/>
              </w:rPr>
              <w:t>根据建设单位提供的工程资料，本项目天然气来源为“西气东输”管道天然气，管道长400m，内径60mm，厂区内天然气最大在线量为0.95kg。本项目危险物质储存情况一览表见表4-24。</w:t>
            </w:r>
          </w:p>
          <w:p>
            <w:pPr>
              <w:spacing w:line="360" w:lineRule="auto"/>
              <w:ind w:firstLine="482" w:firstLineChars="200"/>
              <w:jc w:val="center"/>
              <w:rPr>
                <w:rFonts w:hint="default"/>
                <w:b/>
                <w:color w:val="000000"/>
                <w:sz w:val="24"/>
              </w:rPr>
            </w:pPr>
            <w:r>
              <w:rPr>
                <w:rFonts w:hint="eastAsia"/>
                <w:b/>
                <w:color w:val="000000"/>
                <w:sz w:val="24"/>
              </w:rPr>
              <w:t>表</w:t>
            </w:r>
            <w:r>
              <w:rPr>
                <w:rFonts w:hint="eastAsia"/>
                <w:b/>
                <w:color w:val="000000"/>
                <w:sz w:val="24"/>
                <w:lang w:val="en-US" w:eastAsia="zh-CN"/>
              </w:rPr>
              <w:t>4-24</w:t>
            </w:r>
            <w:r>
              <w:rPr>
                <w:rFonts w:hint="default"/>
                <w:b/>
                <w:color w:val="000000"/>
                <w:sz w:val="24"/>
              </w:rPr>
              <w:t xml:space="preserve">    </w:t>
            </w:r>
            <w:r>
              <w:rPr>
                <w:rFonts w:hint="eastAsia"/>
                <w:b/>
                <w:color w:val="000000"/>
                <w:sz w:val="24"/>
                <w:lang w:val="en-US" w:eastAsia="zh-CN"/>
              </w:rPr>
              <w:t>危险</w:t>
            </w:r>
            <w:r>
              <w:rPr>
                <w:rFonts w:hint="eastAsia"/>
                <w:b/>
                <w:color w:val="000000"/>
                <w:sz w:val="24"/>
              </w:rPr>
              <w:t>物质储存情况一览表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1"/>
                    </w:rPr>
                  </w:pPr>
                  <w:r>
                    <w:rPr>
                      <w:rFonts w:hint="eastAsia"/>
                      <w:b/>
                      <w:sz w:val="21"/>
                      <w:lang w:val="en-US" w:eastAsia="zh-CN"/>
                    </w:rPr>
                    <w:t>危险</w:t>
                  </w:r>
                  <w:r>
                    <w:rPr>
                      <w:rFonts w:hint="eastAsia"/>
                      <w:b/>
                      <w:sz w:val="21"/>
                    </w:rPr>
                    <w:t>物质名称</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1"/>
                    </w:rPr>
                  </w:pPr>
                  <w:r>
                    <w:rPr>
                      <w:rFonts w:hint="eastAsia"/>
                      <w:b/>
                      <w:sz w:val="21"/>
                    </w:rPr>
                    <w:t>最大储存量（</w:t>
                  </w:r>
                  <w:r>
                    <w:rPr>
                      <w:rFonts w:hint="default"/>
                      <w:b/>
                      <w:sz w:val="21"/>
                    </w:rPr>
                    <w:t>t</w:t>
                  </w:r>
                  <w:r>
                    <w:rPr>
                      <w:rFonts w:hint="eastAsia"/>
                      <w:b/>
                      <w:sz w:val="21"/>
                    </w:rPr>
                    <w:t>）</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1"/>
                    </w:rPr>
                  </w:pPr>
                  <w:r>
                    <w:rPr>
                      <w:rFonts w:hint="eastAsia"/>
                      <w:b/>
                      <w:sz w:val="21"/>
                    </w:rPr>
                    <w:t>临界量</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1"/>
                    </w:rPr>
                  </w:pPr>
                  <w:r>
                    <w:rPr>
                      <w:rFonts w:hint="default"/>
                      <w:b/>
                      <w:sz w:val="21"/>
                    </w:rPr>
                    <w:t>Q</w:t>
                  </w:r>
                  <w:r>
                    <w:rPr>
                      <w:rFonts w:hint="eastAsia"/>
                      <w:b/>
                      <w:sz w:val="21"/>
                    </w:rPr>
                    <w:t>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1"/>
                    </w:rPr>
                  </w:pPr>
                  <w:r>
                    <w:rPr>
                      <w:rFonts w:hint="eastAsia"/>
                      <w:sz w:val="21"/>
                    </w:rPr>
                    <w:t>天然气</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eastAsia" w:eastAsia="宋体"/>
                      <w:sz w:val="21"/>
                      <w:lang w:val="en-US" w:eastAsia="zh-CN"/>
                    </w:rPr>
                  </w:pPr>
                  <w:r>
                    <w:rPr>
                      <w:rFonts w:hint="eastAsia"/>
                      <w:sz w:val="21"/>
                      <w:lang w:val="en-US" w:eastAsia="zh-CN"/>
                    </w:rPr>
                    <w:t>0.00095</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1"/>
                    </w:rPr>
                  </w:pPr>
                  <w:r>
                    <w:rPr>
                      <w:rFonts w:hint="default"/>
                      <w:sz w:val="21"/>
                    </w:rPr>
                    <w:t>10</w:t>
                  </w:r>
                </w:p>
              </w:tc>
              <w:tc>
                <w:tcPr>
                  <w:tcW w:w="1984"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eastAsia" w:eastAsia="宋体"/>
                      <w:sz w:val="21"/>
                      <w:lang w:val="en-US" w:eastAsia="zh-CN"/>
                    </w:rPr>
                  </w:pPr>
                  <w:r>
                    <w:rPr>
                      <w:rFonts w:hint="eastAsia"/>
                      <w:sz w:val="21"/>
                      <w:lang w:val="en-US" w:eastAsia="zh-CN"/>
                    </w:rPr>
                    <w:t>0.000095</w:t>
                  </w:r>
                </w:p>
              </w:tc>
            </w:tr>
          </w:tbl>
          <w:p>
            <w:pPr>
              <w:spacing w:line="360" w:lineRule="auto"/>
              <w:ind w:firstLine="480" w:firstLineChars="200"/>
              <w:rPr>
                <w:rFonts w:hint="default"/>
                <w:sz w:val="24"/>
              </w:rPr>
            </w:pPr>
            <w:r>
              <w:rPr>
                <w:rFonts w:hint="eastAsia"/>
                <w:sz w:val="24"/>
              </w:rPr>
              <w:t>根据《建设项目环境风险评价技术导则》（</w:t>
            </w:r>
            <w:r>
              <w:rPr>
                <w:rFonts w:hint="default"/>
                <w:sz w:val="24"/>
              </w:rPr>
              <w:t>HJ169-2018</w:t>
            </w:r>
            <w:r>
              <w:rPr>
                <w:rFonts w:hint="eastAsia"/>
                <w:sz w:val="24"/>
              </w:rPr>
              <w:t>）附录</w:t>
            </w:r>
            <w:r>
              <w:rPr>
                <w:rFonts w:hint="default"/>
                <w:sz w:val="24"/>
              </w:rPr>
              <w:t>C</w:t>
            </w:r>
            <w:r>
              <w:rPr>
                <w:rFonts w:hint="eastAsia"/>
                <w:sz w:val="24"/>
              </w:rPr>
              <w:t>，按下列式进行计算物质总量与其临界量比值（</w:t>
            </w:r>
            <w:r>
              <w:rPr>
                <w:rFonts w:hint="default"/>
                <w:sz w:val="24"/>
              </w:rPr>
              <w:t>Q</w:t>
            </w:r>
            <w:r>
              <w:rPr>
                <w:rFonts w:hint="eastAsia"/>
                <w:sz w:val="24"/>
              </w:rPr>
              <w:t>）。</w:t>
            </w:r>
          </w:p>
          <w:p>
            <w:pPr>
              <w:spacing w:line="360" w:lineRule="auto"/>
              <w:ind w:firstLine="480" w:firstLineChars="200"/>
              <w:jc w:val="center"/>
              <w:rPr>
                <w:rFonts w:hint="default"/>
                <w:sz w:val="24"/>
              </w:rPr>
            </w:pPr>
            <w:r>
              <w:rPr>
                <w:rFonts w:hint="default"/>
                <w:sz w:val="24"/>
              </w:rPr>
              <w:t>Q=q</w:t>
            </w:r>
            <w:r>
              <w:rPr>
                <w:rFonts w:hint="default"/>
                <w:sz w:val="24"/>
                <w:vertAlign w:val="subscript"/>
              </w:rPr>
              <w:t>1</w:t>
            </w:r>
            <w:r>
              <w:rPr>
                <w:rFonts w:hint="default"/>
                <w:sz w:val="24"/>
              </w:rPr>
              <w:t>/Q</w:t>
            </w:r>
            <w:r>
              <w:rPr>
                <w:rFonts w:hint="default"/>
                <w:sz w:val="24"/>
                <w:vertAlign w:val="subscript"/>
              </w:rPr>
              <w:t>1</w:t>
            </w:r>
            <w:r>
              <w:rPr>
                <w:rFonts w:hint="default"/>
                <w:sz w:val="24"/>
              </w:rPr>
              <w:t>+q</w:t>
            </w:r>
            <w:r>
              <w:rPr>
                <w:rFonts w:hint="default"/>
                <w:sz w:val="24"/>
                <w:vertAlign w:val="subscript"/>
              </w:rPr>
              <w:t>2</w:t>
            </w:r>
            <w:r>
              <w:rPr>
                <w:rFonts w:hint="default"/>
                <w:sz w:val="24"/>
              </w:rPr>
              <w:t>/Q</w:t>
            </w:r>
            <w:r>
              <w:rPr>
                <w:rFonts w:hint="default"/>
                <w:sz w:val="24"/>
                <w:vertAlign w:val="subscript"/>
              </w:rPr>
              <w:t>2</w:t>
            </w:r>
            <w:r>
              <w:rPr>
                <w:rFonts w:hint="default"/>
                <w:sz w:val="24"/>
              </w:rPr>
              <w:t>+</w:t>
            </w:r>
            <w:r>
              <w:rPr>
                <w:rFonts w:hint="eastAsia"/>
                <w:sz w:val="24"/>
              </w:rPr>
              <w:t>……</w:t>
            </w:r>
            <w:r>
              <w:rPr>
                <w:rFonts w:hint="default"/>
                <w:sz w:val="24"/>
              </w:rPr>
              <w:t>+q</w:t>
            </w:r>
            <w:r>
              <w:rPr>
                <w:rFonts w:hint="default"/>
                <w:sz w:val="24"/>
                <w:vertAlign w:val="subscript"/>
              </w:rPr>
              <w:t>n</w:t>
            </w:r>
            <w:r>
              <w:rPr>
                <w:rFonts w:hint="default"/>
                <w:sz w:val="24"/>
              </w:rPr>
              <w:t>/Q</w:t>
            </w:r>
            <w:r>
              <w:rPr>
                <w:rFonts w:hint="default"/>
                <w:sz w:val="24"/>
                <w:vertAlign w:val="subscript"/>
              </w:rPr>
              <w:t>n</w:t>
            </w:r>
          </w:p>
          <w:p>
            <w:pPr>
              <w:spacing w:line="360" w:lineRule="auto"/>
              <w:ind w:firstLine="480" w:firstLineChars="200"/>
              <w:rPr>
                <w:rFonts w:hint="default"/>
                <w:sz w:val="24"/>
              </w:rPr>
            </w:pPr>
            <w:r>
              <w:rPr>
                <w:rFonts w:hint="eastAsia"/>
                <w:sz w:val="24"/>
              </w:rPr>
              <w:t>其中：</w:t>
            </w:r>
            <w:r>
              <w:rPr>
                <w:rFonts w:hint="default"/>
                <w:sz w:val="24"/>
              </w:rPr>
              <w:t>q</w:t>
            </w:r>
            <w:r>
              <w:rPr>
                <w:rFonts w:hint="default"/>
                <w:sz w:val="24"/>
                <w:vertAlign w:val="subscript"/>
              </w:rPr>
              <w:t>1</w:t>
            </w:r>
            <w:r>
              <w:rPr>
                <w:rFonts w:hint="eastAsia"/>
                <w:sz w:val="24"/>
              </w:rPr>
              <w:t>，</w:t>
            </w:r>
            <w:r>
              <w:rPr>
                <w:rFonts w:hint="default"/>
                <w:sz w:val="24"/>
              </w:rPr>
              <w:t>q</w:t>
            </w:r>
            <w:r>
              <w:rPr>
                <w:rFonts w:hint="default"/>
                <w:sz w:val="24"/>
                <w:vertAlign w:val="subscript"/>
              </w:rPr>
              <w:t>2</w:t>
            </w:r>
            <w:r>
              <w:rPr>
                <w:rFonts w:hint="eastAsia"/>
                <w:sz w:val="24"/>
              </w:rPr>
              <w:t>，……</w:t>
            </w:r>
            <w:r>
              <w:rPr>
                <w:rFonts w:hint="default"/>
                <w:sz w:val="24"/>
              </w:rPr>
              <w:t>q</w:t>
            </w:r>
            <w:r>
              <w:rPr>
                <w:rFonts w:hint="default"/>
                <w:sz w:val="24"/>
                <w:vertAlign w:val="subscript"/>
              </w:rPr>
              <w:t>n</w:t>
            </w:r>
            <w:r>
              <w:rPr>
                <w:rFonts w:hint="default"/>
                <w:sz w:val="24"/>
              </w:rPr>
              <w:t>—</w:t>
            </w:r>
            <w:r>
              <w:rPr>
                <w:rFonts w:hint="eastAsia"/>
                <w:sz w:val="24"/>
              </w:rPr>
              <w:t>每种危险物质的最大存在总量，单位</w:t>
            </w:r>
            <w:r>
              <w:rPr>
                <w:rFonts w:hint="default"/>
                <w:sz w:val="24"/>
              </w:rPr>
              <w:t>t</w:t>
            </w:r>
            <w:r>
              <w:rPr>
                <w:rFonts w:hint="eastAsia"/>
                <w:sz w:val="24"/>
              </w:rPr>
              <w:t>；</w:t>
            </w:r>
          </w:p>
          <w:p>
            <w:pPr>
              <w:spacing w:line="360" w:lineRule="auto"/>
              <w:ind w:firstLine="1200" w:firstLineChars="500"/>
              <w:rPr>
                <w:rFonts w:hint="default"/>
                <w:sz w:val="24"/>
              </w:rPr>
            </w:pPr>
            <w:r>
              <w:rPr>
                <w:rFonts w:hint="default"/>
                <w:sz w:val="24"/>
              </w:rPr>
              <w:t>Q</w:t>
            </w:r>
            <w:r>
              <w:rPr>
                <w:rFonts w:hint="default"/>
                <w:sz w:val="24"/>
                <w:vertAlign w:val="subscript"/>
              </w:rPr>
              <w:t>1</w:t>
            </w:r>
            <w:r>
              <w:rPr>
                <w:rFonts w:hint="eastAsia"/>
                <w:sz w:val="24"/>
              </w:rPr>
              <w:t>，</w:t>
            </w:r>
            <w:r>
              <w:rPr>
                <w:rFonts w:hint="default"/>
                <w:sz w:val="24"/>
              </w:rPr>
              <w:t>Q</w:t>
            </w:r>
            <w:r>
              <w:rPr>
                <w:rFonts w:hint="default"/>
                <w:sz w:val="24"/>
                <w:vertAlign w:val="subscript"/>
              </w:rPr>
              <w:t>2</w:t>
            </w:r>
            <w:r>
              <w:rPr>
                <w:rFonts w:hint="eastAsia"/>
                <w:sz w:val="24"/>
              </w:rPr>
              <w:t>，……</w:t>
            </w:r>
            <w:r>
              <w:rPr>
                <w:rFonts w:hint="default"/>
                <w:sz w:val="24"/>
              </w:rPr>
              <w:t>Q</w:t>
            </w:r>
            <w:r>
              <w:rPr>
                <w:rFonts w:hint="default"/>
                <w:sz w:val="24"/>
                <w:vertAlign w:val="subscript"/>
              </w:rPr>
              <w:t>n</w:t>
            </w:r>
            <w:r>
              <w:rPr>
                <w:rFonts w:hint="default"/>
                <w:sz w:val="24"/>
              </w:rPr>
              <w:t>—</w:t>
            </w:r>
            <w:r>
              <w:rPr>
                <w:rFonts w:hint="eastAsia"/>
                <w:sz w:val="24"/>
              </w:rPr>
              <w:t>每种危险物质的临界量，单位</w:t>
            </w:r>
            <w:r>
              <w:rPr>
                <w:rFonts w:hint="default"/>
                <w:sz w:val="24"/>
              </w:rPr>
              <w:t>t</w:t>
            </w:r>
            <w:r>
              <w:rPr>
                <w:rFonts w:hint="eastAsia"/>
                <w:sz w:val="24"/>
              </w:rPr>
              <w:t>。</w:t>
            </w:r>
          </w:p>
          <w:p>
            <w:pPr>
              <w:spacing w:line="360" w:lineRule="auto"/>
              <w:ind w:firstLine="1200" w:firstLineChars="500"/>
              <w:rPr>
                <w:rFonts w:hint="default"/>
                <w:sz w:val="24"/>
              </w:rPr>
            </w:pPr>
            <w:r>
              <w:rPr>
                <w:rFonts w:hint="eastAsia"/>
                <w:sz w:val="24"/>
              </w:rPr>
              <w:t>当</w:t>
            </w:r>
            <w:r>
              <w:rPr>
                <w:rFonts w:hint="default"/>
                <w:sz w:val="24"/>
              </w:rPr>
              <w:t>Q</w:t>
            </w:r>
            <w:r>
              <w:rPr>
                <w:rFonts w:hint="eastAsia"/>
                <w:sz w:val="24"/>
              </w:rPr>
              <w:t>＜</w:t>
            </w:r>
            <w:r>
              <w:rPr>
                <w:rFonts w:hint="default"/>
                <w:sz w:val="24"/>
              </w:rPr>
              <w:t>1</w:t>
            </w:r>
            <w:r>
              <w:rPr>
                <w:rFonts w:hint="eastAsia"/>
                <w:sz w:val="24"/>
              </w:rPr>
              <w:t>时，该项目环境风险潜势为Ⅰ；</w:t>
            </w:r>
          </w:p>
          <w:p>
            <w:pPr>
              <w:spacing w:line="360" w:lineRule="auto"/>
              <w:ind w:firstLine="1200" w:firstLineChars="500"/>
              <w:rPr>
                <w:rFonts w:hint="default"/>
                <w:sz w:val="24"/>
              </w:rPr>
            </w:pPr>
            <w:r>
              <w:rPr>
                <w:rFonts w:hint="eastAsia"/>
                <w:sz w:val="24"/>
              </w:rPr>
              <w:t>当</w:t>
            </w:r>
            <w:r>
              <w:rPr>
                <w:rFonts w:hint="default"/>
                <w:sz w:val="24"/>
              </w:rPr>
              <w:t>Q</w:t>
            </w:r>
            <w:r>
              <w:rPr>
                <w:rFonts w:hint="eastAsia"/>
                <w:sz w:val="24"/>
              </w:rPr>
              <w:t>≥</w:t>
            </w:r>
            <w:r>
              <w:rPr>
                <w:rFonts w:hint="default"/>
                <w:sz w:val="24"/>
              </w:rPr>
              <w:t>1</w:t>
            </w:r>
            <w:r>
              <w:rPr>
                <w:rFonts w:hint="eastAsia"/>
                <w:sz w:val="24"/>
              </w:rPr>
              <w:t>时，将</w:t>
            </w:r>
            <w:r>
              <w:rPr>
                <w:rFonts w:hint="default"/>
                <w:sz w:val="24"/>
              </w:rPr>
              <w:t>Q</w:t>
            </w:r>
            <w:r>
              <w:rPr>
                <w:rFonts w:hint="eastAsia"/>
                <w:sz w:val="24"/>
              </w:rPr>
              <w:t>值划分为：（</w:t>
            </w:r>
            <w:r>
              <w:rPr>
                <w:rFonts w:hint="default"/>
                <w:sz w:val="24"/>
              </w:rPr>
              <w:t>1</w:t>
            </w:r>
            <w:r>
              <w:rPr>
                <w:rFonts w:hint="eastAsia"/>
                <w:sz w:val="24"/>
              </w:rPr>
              <w:t>）</w:t>
            </w:r>
            <w:r>
              <w:rPr>
                <w:rFonts w:hint="default"/>
                <w:sz w:val="24"/>
              </w:rPr>
              <w:t>1</w:t>
            </w:r>
            <w:r>
              <w:rPr>
                <w:rFonts w:hint="eastAsia"/>
                <w:sz w:val="24"/>
              </w:rPr>
              <w:t>≤</w:t>
            </w:r>
            <w:r>
              <w:rPr>
                <w:rFonts w:hint="default"/>
                <w:sz w:val="24"/>
              </w:rPr>
              <w:t>Q</w:t>
            </w:r>
            <w:r>
              <w:rPr>
                <w:rFonts w:hint="eastAsia"/>
                <w:sz w:val="24"/>
              </w:rPr>
              <w:t>＜</w:t>
            </w:r>
            <w:r>
              <w:rPr>
                <w:rFonts w:hint="default"/>
                <w:sz w:val="24"/>
              </w:rPr>
              <w:t>10</w:t>
            </w:r>
            <w:r>
              <w:rPr>
                <w:rFonts w:hint="eastAsia"/>
                <w:sz w:val="24"/>
              </w:rPr>
              <w:t>；（</w:t>
            </w:r>
            <w:r>
              <w:rPr>
                <w:rFonts w:hint="default"/>
                <w:sz w:val="24"/>
              </w:rPr>
              <w:t>2</w:t>
            </w:r>
            <w:r>
              <w:rPr>
                <w:rFonts w:hint="eastAsia"/>
                <w:sz w:val="24"/>
              </w:rPr>
              <w:t>）</w:t>
            </w:r>
            <w:r>
              <w:rPr>
                <w:rFonts w:hint="default"/>
                <w:sz w:val="24"/>
              </w:rPr>
              <w:t>10</w:t>
            </w:r>
            <w:r>
              <w:rPr>
                <w:rFonts w:hint="eastAsia"/>
                <w:sz w:val="24"/>
              </w:rPr>
              <w:t>≤</w:t>
            </w:r>
            <w:r>
              <w:rPr>
                <w:rFonts w:hint="default"/>
                <w:sz w:val="24"/>
              </w:rPr>
              <w:t>Q</w:t>
            </w:r>
            <w:r>
              <w:rPr>
                <w:rFonts w:hint="eastAsia"/>
                <w:sz w:val="24"/>
              </w:rPr>
              <w:t>＜</w:t>
            </w:r>
            <w:r>
              <w:rPr>
                <w:rFonts w:hint="default"/>
                <w:sz w:val="24"/>
              </w:rPr>
              <w:t>100</w:t>
            </w:r>
            <w:r>
              <w:rPr>
                <w:rFonts w:hint="eastAsia"/>
                <w:sz w:val="24"/>
              </w:rPr>
              <w:t>；（</w:t>
            </w:r>
            <w:r>
              <w:rPr>
                <w:rFonts w:hint="default"/>
                <w:sz w:val="24"/>
              </w:rPr>
              <w:t>3</w:t>
            </w:r>
            <w:r>
              <w:rPr>
                <w:rFonts w:hint="eastAsia"/>
                <w:sz w:val="24"/>
              </w:rPr>
              <w:t>）</w:t>
            </w:r>
            <w:r>
              <w:rPr>
                <w:rFonts w:hint="default"/>
                <w:sz w:val="24"/>
              </w:rPr>
              <w:t>Q</w:t>
            </w:r>
            <w:r>
              <w:rPr>
                <w:rFonts w:hint="eastAsia"/>
                <w:sz w:val="24"/>
              </w:rPr>
              <w:t>≥</w:t>
            </w:r>
            <w:r>
              <w:rPr>
                <w:rFonts w:hint="default"/>
                <w:sz w:val="24"/>
              </w:rPr>
              <w:t>100</w:t>
            </w:r>
            <w:r>
              <w:rPr>
                <w:rFonts w:hint="eastAsia"/>
                <w:sz w:val="24"/>
              </w:rPr>
              <w:t>。</w:t>
            </w:r>
          </w:p>
          <w:p>
            <w:pPr>
              <w:spacing w:line="360" w:lineRule="auto"/>
              <w:ind w:firstLine="480" w:firstLineChars="200"/>
              <w:rPr>
                <w:rFonts w:hint="default"/>
                <w:sz w:val="24"/>
              </w:rPr>
            </w:pPr>
            <w:r>
              <w:rPr>
                <w:rFonts w:hint="eastAsia"/>
                <w:sz w:val="24"/>
              </w:rPr>
              <w:t>本项目风险物质</w:t>
            </w:r>
            <w:r>
              <w:rPr>
                <w:rFonts w:hint="default"/>
                <w:sz w:val="24"/>
              </w:rPr>
              <w:t>Q=</w:t>
            </w:r>
            <w:r>
              <w:rPr>
                <w:rFonts w:hint="eastAsia"/>
                <w:sz w:val="24"/>
                <w:lang w:val="en-US" w:eastAsia="zh-CN"/>
              </w:rPr>
              <w:t>0.000095</w:t>
            </w:r>
            <w:r>
              <w:rPr>
                <w:rFonts w:hint="eastAsia"/>
                <w:sz w:val="24"/>
              </w:rPr>
              <w:t>＜</w:t>
            </w:r>
            <w:r>
              <w:rPr>
                <w:rFonts w:hint="eastAsia"/>
                <w:sz w:val="24"/>
                <w:lang w:val="en-US" w:eastAsia="zh-CN"/>
              </w:rPr>
              <w:t>1，环境风险潜势为</w:t>
            </w:r>
            <w:r>
              <w:rPr>
                <w:rFonts w:hint="eastAsia"/>
                <w:sz w:val="24"/>
              </w:rPr>
              <w:t>Ⅰ。</w:t>
            </w:r>
          </w:p>
          <w:p>
            <w:pPr>
              <w:spacing w:line="360" w:lineRule="auto"/>
              <w:ind w:firstLine="480" w:firstLineChars="200"/>
              <w:rPr>
                <w:rFonts w:hint="default"/>
                <w:sz w:val="24"/>
              </w:rPr>
            </w:pPr>
            <w:r>
              <w:rPr>
                <w:rFonts w:hint="eastAsia"/>
                <w:sz w:val="24"/>
              </w:rPr>
              <w:t>（</w:t>
            </w:r>
            <w:r>
              <w:rPr>
                <w:rFonts w:hint="eastAsia"/>
                <w:sz w:val="24"/>
                <w:lang w:val="en-US" w:eastAsia="zh-CN"/>
              </w:rPr>
              <w:t>2</w:t>
            </w:r>
            <w:r>
              <w:rPr>
                <w:rFonts w:hint="eastAsia"/>
                <w:sz w:val="24"/>
              </w:rPr>
              <w:t>）等级判定</w:t>
            </w:r>
          </w:p>
          <w:p>
            <w:pPr>
              <w:spacing w:line="360" w:lineRule="auto"/>
              <w:ind w:firstLine="480" w:firstLineChars="200"/>
              <w:rPr>
                <w:rFonts w:hint="eastAsia" w:ascii="Times New Roman" w:hAnsi="Times New Roman" w:cs="Times New Roman"/>
                <w:sz w:val="24"/>
              </w:rPr>
            </w:pPr>
            <w:r>
              <w:rPr>
                <w:rFonts w:hint="eastAsia" w:ascii="Times New Roman" w:hAnsi="Times New Roman" w:cs="Times New Roman"/>
                <w:sz w:val="24"/>
              </w:rPr>
              <w:t>依据《建设项目环境风险评估技术导则》（HJ169-2018）中4.3的内容，评价级别判定依据见表</w:t>
            </w:r>
            <w:r>
              <w:rPr>
                <w:rFonts w:hint="eastAsia" w:ascii="Times New Roman" w:hAnsi="Times New Roman" w:cs="Times New Roman"/>
                <w:sz w:val="24"/>
                <w:lang w:val="en-US" w:eastAsia="zh-CN"/>
              </w:rPr>
              <w:t>4-2</w:t>
            </w:r>
            <w:r>
              <w:rPr>
                <w:rFonts w:hint="eastAsia" w:cs="Times New Roman"/>
                <w:sz w:val="24"/>
                <w:lang w:val="en-US" w:eastAsia="zh-CN"/>
              </w:rPr>
              <w:t>5</w:t>
            </w:r>
            <w:r>
              <w:rPr>
                <w:rFonts w:hint="eastAsia" w:ascii="Times New Roman" w:hAnsi="Times New Roman" w:cs="Times New Roman"/>
                <w:sz w:val="24"/>
              </w:rPr>
              <w:t>。</w:t>
            </w:r>
          </w:p>
          <w:p>
            <w:pPr>
              <w:spacing w:line="360" w:lineRule="auto"/>
              <w:ind w:firstLine="482" w:firstLineChars="200"/>
              <w:jc w:val="center"/>
              <w:rPr>
                <w:rFonts w:hint="eastAsia" w:eastAsia="宋体"/>
                <w:b/>
                <w:color w:val="000000"/>
                <w:sz w:val="24"/>
                <w:lang w:val="en-US" w:eastAsia="zh-CN"/>
              </w:rPr>
            </w:pPr>
            <w:r>
              <w:rPr>
                <w:rFonts w:hint="eastAsia"/>
                <w:b/>
                <w:color w:val="000000"/>
                <w:sz w:val="24"/>
              </w:rPr>
              <w:t>表</w:t>
            </w:r>
            <w:r>
              <w:rPr>
                <w:rFonts w:hint="eastAsia"/>
                <w:b/>
                <w:color w:val="000000"/>
                <w:sz w:val="24"/>
                <w:lang w:val="en-US" w:eastAsia="zh-CN"/>
              </w:rPr>
              <w:t>4-25</w:t>
            </w:r>
            <w:r>
              <w:rPr>
                <w:rFonts w:hint="default"/>
                <w:b/>
                <w:color w:val="000000"/>
                <w:sz w:val="24"/>
              </w:rPr>
              <w:t xml:space="preserve">    </w:t>
            </w:r>
            <w:r>
              <w:rPr>
                <w:rFonts w:hint="eastAsia"/>
                <w:b/>
                <w:color w:val="000000"/>
                <w:sz w:val="24"/>
              </w:rPr>
              <w:t>评价工作等级划分</w:t>
            </w:r>
            <w:r>
              <w:rPr>
                <w:rFonts w:hint="eastAsia"/>
                <w:b/>
                <w:color w:val="000000"/>
                <w:sz w:val="24"/>
                <w:lang w:val="en-US" w:eastAsia="zh-CN"/>
              </w:rPr>
              <w:t>一览表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587"/>
              <w:gridCol w:w="1587"/>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4"/>
                    </w:rPr>
                  </w:pPr>
                  <w:r>
                    <w:rPr>
                      <w:rFonts w:hint="eastAsia"/>
                      <w:b/>
                      <w:sz w:val="21"/>
                    </w:rPr>
                    <w:t>环境风险潜势</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4"/>
                    </w:rPr>
                  </w:pPr>
                  <w:r>
                    <w:rPr>
                      <w:rFonts w:hint="eastAsia"/>
                      <w:b/>
                      <w:sz w:val="21"/>
                    </w:rPr>
                    <w:t>Ⅳ</w:t>
                  </w:r>
                  <w:r>
                    <w:rPr>
                      <w:rFonts w:hint="eastAsia"/>
                      <w:b/>
                      <w:sz w:val="21"/>
                      <w:vertAlign w:val="superscript"/>
                      <w:lang w:val="en-US" w:eastAsia="zh-CN"/>
                    </w:rPr>
                    <w:t>+</w:t>
                  </w:r>
                  <w:r>
                    <w:rPr>
                      <w:rFonts w:hint="eastAsia"/>
                      <w:b/>
                      <w:sz w:val="21"/>
                    </w:rPr>
                    <w:t>、Ⅳ</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4"/>
                    </w:rPr>
                  </w:pPr>
                  <w:r>
                    <w:rPr>
                      <w:rFonts w:hint="eastAsia"/>
                      <w:b/>
                      <w:sz w:val="21"/>
                    </w:rPr>
                    <w:t>Ⅲ</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4"/>
                    </w:rPr>
                  </w:pPr>
                  <w:r>
                    <w:rPr>
                      <w:rFonts w:hint="eastAsia"/>
                      <w:b/>
                      <w:sz w:val="21"/>
                    </w:rPr>
                    <w:t>Ⅱ</w:t>
                  </w:r>
                </w:p>
              </w:tc>
              <w:tc>
                <w:tcPr>
                  <w:tcW w:w="1588"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b/>
                      <w:sz w:val="24"/>
                    </w:rPr>
                  </w:pPr>
                  <w:r>
                    <w:rPr>
                      <w:rFonts w:hint="eastAsia"/>
                      <w:b/>
                      <w:sz w:val="21"/>
                    </w:rPr>
                    <w:t>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4"/>
                    </w:rPr>
                  </w:pPr>
                  <w:r>
                    <w:rPr>
                      <w:rFonts w:hint="eastAsia"/>
                      <w:sz w:val="21"/>
                    </w:rPr>
                    <w:t>评价工作等级</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4"/>
                    </w:rPr>
                  </w:pPr>
                  <w:r>
                    <w:rPr>
                      <w:rFonts w:hint="eastAsia"/>
                      <w:sz w:val="21"/>
                    </w:rPr>
                    <w:t>一</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4"/>
                    </w:rPr>
                  </w:pPr>
                  <w:r>
                    <w:rPr>
                      <w:rFonts w:hint="eastAsia"/>
                      <w:sz w:val="21"/>
                    </w:rPr>
                    <w:t>二</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4"/>
                    </w:rPr>
                  </w:pPr>
                  <w:r>
                    <w:rPr>
                      <w:rFonts w:hint="eastAsia"/>
                      <w:sz w:val="21"/>
                    </w:rPr>
                    <w:t>三</w:t>
                  </w:r>
                </w:p>
              </w:tc>
              <w:tc>
                <w:tcPr>
                  <w:tcW w:w="1588" w:type="dxa"/>
                  <w:tcBorders>
                    <w:top w:val="single" w:color="auto" w:sz="4" w:space="0"/>
                    <w:left w:val="single" w:color="auto" w:sz="4" w:space="0"/>
                    <w:bottom w:val="single" w:color="auto" w:sz="4" w:space="0"/>
                    <w:right w:val="single" w:color="auto" w:sz="4" w:space="0"/>
                    <w:tl2br w:val="nil"/>
                    <w:tr2bl w:val="nil"/>
                  </w:tcBorders>
                  <w:vAlign w:val="center"/>
                </w:tcPr>
                <w:p>
                  <w:pPr>
                    <w:pStyle w:val="47"/>
                    <w:topLinePunct/>
                    <w:spacing w:line="240" w:lineRule="auto"/>
                    <w:ind w:firstLine="0" w:firstLineChars="0"/>
                    <w:jc w:val="center"/>
                    <w:rPr>
                      <w:rFonts w:hint="default"/>
                      <w:sz w:val="24"/>
                    </w:rPr>
                  </w:pPr>
                  <w:r>
                    <w:rPr>
                      <w:rFonts w:hint="eastAsia"/>
                      <w:sz w:val="21"/>
                    </w:rPr>
                    <w:t>简单分析</w:t>
                  </w:r>
                  <w:r>
                    <w:rPr>
                      <w:rFonts w:hint="default"/>
                      <w:sz w:val="21"/>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936" w:type="dxa"/>
                  <w:gridSpan w:val="5"/>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4"/>
                    </w:rPr>
                  </w:pPr>
                  <w:r>
                    <w:rPr>
                      <w:rFonts w:hint="default"/>
                      <w:sz w:val="14"/>
                      <w:vertAlign w:val="superscript"/>
                    </w:rPr>
                    <w:t>a</w:t>
                  </w:r>
                  <w:r>
                    <w:rPr>
                      <w:rFonts w:hint="eastAsia"/>
                      <w:sz w:val="21"/>
                    </w:rPr>
                    <w:t>是相对于详细评价工作内容而言，在描述危险物质、环境影响途径、环境危害后果、风险防范措施等方面给出定性的说明。见附录</w:t>
                  </w:r>
                  <w:r>
                    <w:rPr>
                      <w:rFonts w:hint="default"/>
                      <w:sz w:val="21"/>
                    </w:rPr>
                    <w:t>A</w:t>
                  </w:r>
                  <w:r>
                    <w:rPr>
                      <w:rFonts w:hint="eastAsia"/>
                      <w:sz w:val="21"/>
                    </w:rPr>
                    <w:t>。</w:t>
                  </w:r>
                </w:p>
              </w:tc>
            </w:tr>
          </w:tbl>
          <w:p>
            <w:pPr>
              <w:spacing w:line="360" w:lineRule="auto"/>
              <w:ind w:firstLine="480" w:firstLineChars="200"/>
              <w:rPr>
                <w:rFonts w:hint="default" w:ascii="Times New Roman" w:hAnsi="Times New Roman" w:cs="Times New Roman"/>
                <w:sz w:val="24"/>
              </w:rPr>
            </w:pPr>
            <w:bookmarkStart w:id="10" w:name="_Toc5754"/>
            <w:r>
              <w:rPr>
                <w:rFonts w:hint="eastAsia" w:ascii="Times New Roman" w:hAnsi="Times New Roman" w:cs="Times New Roman"/>
                <w:sz w:val="24"/>
              </w:rPr>
              <w:t>由</w:t>
            </w:r>
            <w:r>
              <w:rPr>
                <w:rFonts w:hint="eastAsia" w:ascii="Times New Roman" w:hAnsi="Times New Roman" w:cs="Times New Roman"/>
                <w:sz w:val="24"/>
                <w:lang w:eastAsia="zh-CN"/>
              </w:rPr>
              <w:t>上表</w:t>
            </w:r>
            <w:r>
              <w:rPr>
                <w:rFonts w:hint="eastAsia" w:ascii="Times New Roman" w:hAnsi="Times New Roman" w:cs="Times New Roman"/>
                <w:sz w:val="24"/>
              </w:rPr>
              <w:t>可知，本项目评价工作等级为简单分析。</w:t>
            </w:r>
          </w:p>
          <w:p>
            <w:pPr>
              <w:adjustRightInd w:val="0"/>
              <w:snapToGrid w:val="0"/>
              <w:spacing w:line="360" w:lineRule="auto"/>
              <w:ind w:firstLine="482" w:firstLineChars="200"/>
              <w:jc w:val="left"/>
              <w:rPr>
                <w:rFonts w:hint="default"/>
                <w:b/>
                <w:snapToGrid w:val="0"/>
                <w:kern w:val="0"/>
                <w:sz w:val="24"/>
              </w:rPr>
            </w:pPr>
            <w:r>
              <w:rPr>
                <w:rFonts w:hint="eastAsia"/>
                <w:b/>
                <w:snapToGrid w:val="0"/>
                <w:kern w:val="0"/>
                <w:sz w:val="24"/>
                <w:lang w:val="en-US" w:eastAsia="zh-CN"/>
              </w:rPr>
              <w:t>7</w:t>
            </w:r>
            <w:r>
              <w:rPr>
                <w:rFonts w:hint="default"/>
                <w:b/>
                <w:snapToGrid w:val="0"/>
                <w:kern w:val="0"/>
                <w:sz w:val="24"/>
              </w:rPr>
              <w:t>.3</w:t>
            </w:r>
            <w:r>
              <w:rPr>
                <w:rFonts w:hint="eastAsia"/>
                <w:b/>
                <w:snapToGrid w:val="0"/>
                <w:kern w:val="0"/>
                <w:sz w:val="24"/>
              </w:rPr>
              <w:t>环境影响途径</w:t>
            </w:r>
            <w:bookmarkEnd w:id="10"/>
          </w:p>
          <w:p>
            <w:pPr>
              <w:spacing w:line="360" w:lineRule="auto"/>
              <w:ind w:firstLine="480" w:firstLineChars="200"/>
              <w:rPr>
                <w:rFonts w:hint="eastAsia"/>
                <w:sz w:val="24"/>
              </w:rPr>
            </w:pPr>
            <w:r>
              <w:rPr>
                <w:rFonts w:hint="eastAsia"/>
                <w:sz w:val="24"/>
              </w:rPr>
              <w:t>本项目发生突发性事故时对周围环境的影响主要为天然气泄漏，由此引发火灾、爆炸对周围环境空气的的影响。</w:t>
            </w:r>
          </w:p>
          <w:p>
            <w:pPr>
              <w:adjustRightInd w:val="0"/>
              <w:snapToGrid w:val="0"/>
              <w:spacing w:line="360" w:lineRule="auto"/>
              <w:ind w:firstLine="482" w:firstLineChars="200"/>
              <w:jc w:val="left"/>
              <w:rPr>
                <w:rFonts w:hint="eastAsia" w:ascii="Times New Roman" w:hAnsi="Times New Roman" w:cs="Times New Roman"/>
                <w:b/>
                <w:bCs w:val="0"/>
                <w:sz w:val="24"/>
                <w:u w:val="none"/>
              </w:rPr>
            </w:pPr>
            <w:r>
              <w:rPr>
                <w:rFonts w:hint="eastAsia" w:ascii="Times New Roman" w:hAnsi="Times New Roman" w:cs="Times New Roman"/>
                <w:b/>
                <w:bCs w:val="0"/>
                <w:snapToGrid w:val="0"/>
                <w:kern w:val="0"/>
                <w:sz w:val="24"/>
                <w:u w:val="none"/>
                <w:lang w:val="en-US" w:eastAsia="zh-CN"/>
              </w:rPr>
              <w:t>7.4</w:t>
            </w:r>
            <w:r>
              <w:rPr>
                <w:rFonts w:hint="eastAsia" w:ascii="Times New Roman" w:hAnsi="Times New Roman" w:cs="Times New Roman"/>
                <w:b/>
                <w:bCs w:val="0"/>
                <w:snapToGrid w:val="0"/>
                <w:kern w:val="0"/>
                <w:sz w:val="24"/>
                <w:u w:val="none"/>
              </w:rPr>
              <w:t>环境风险分析</w:t>
            </w:r>
          </w:p>
          <w:p>
            <w:pPr>
              <w:spacing w:line="360" w:lineRule="auto"/>
              <w:ind w:firstLine="482" w:firstLineChars="200"/>
              <w:rPr>
                <w:rFonts w:hint="eastAsia" w:cs="Times New Roman"/>
                <w:b/>
                <w:bCs/>
                <w:sz w:val="24"/>
                <w:u w:val="single"/>
                <w:lang w:val="en-US" w:eastAsia="zh-CN"/>
              </w:rPr>
            </w:pPr>
            <w:r>
              <w:rPr>
                <w:rFonts w:hint="eastAsia" w:ascii="Times New Roman" w:hAnsi="Times New Roman" w:cs="Times New Roman"/>
                <w:b/>
                <w:bCs w:val="0"/>
                <w:sz w:val="24"/>
                <w:u w:val="single"/>
              </w:rPr>
              <w:t>本项目风险主要为火灾事故次生环境影响。天然气由</w:t>
            </w:r>
            <w:r>
              <w:rPr>
                <w:rFonts w:hint="eastAsia" w:ascii="Times New Roman" w:hAnsi="Times New Roman" w:cs="Times New Roman"/>
                <w:b/>
                <w:bCs w:val="0"/>
                <w:sz w:val="24"/>
                <w:u w:val="single"/>
                <w:lang w:eastAsia="zh-CN"/>
              </w:rPr>
              <w:t>“</w:t>
            </w:r>
            <w:r>
              <w:rPr>
                <w:rFonts w:hint="eastAsia" w:ascii="Times New Roman" w:hAnsi="Times New Roman" w:cs="Times New Roman"/>
                <w:b/>
                <w:bCs w:val="0"/>
                <w:sz w:val="24"/>
                <w:u w:val="single"/>
                <w:lang w:val="en-US" w:eastAsia="zh-CN"/>
              </w:rPr>
              <w:t>西气东输</w:t>
            </w:r>
            <w:r>
              <w:rPr>
                <w:rFonts w:hint="eastAsia" w:ascii="Times New Roman" w:hAnsi="Times New Roman" w:cs="Times New Roman"/>
                <w:b/>
                <w:bCs w:val="0"/>
                <w:sz w:val="24"/>
                <w:u w:val="single"/>
                <w:lang w:eastAsia="zh-CN"/>
              </w:rPr>
              <w:t>”</w:t>
            </w:r>
            <w:r>
              <w:rPr>
                <w:rFonts w:hint="eastAsia" w:ascii="Times New Roman" w:hAnsi="Times New Roman" w:cs="Times New Roman"/>
                <w:b/>
                <w:bCs w:val="0"/>
                <w:sz w:val="24"/>
                <w:u w:val="single"/>
              </w:rPr>
              <w:t>管网输送至厂区供至各生产工序，天然气管道发生泄漏的情况较小，特殊情况下发生泄漏时，天然气随即散入空气中，因天然气的主要成分为甲烷，故因泄漏对大气的环境影响极小。另天然气具有可燃性，遇明火会发生燃烧，在然烧过程中同时会伴生大量的烟尘、CO等污染物，将对周围环境产生影响。项目为</w:t>
            </w:r>
            <w:r>
              <w:rPr>
                <w:rFonts w:hint="eastAsia" w:cs="Times New Roman"/>
                <w:b/>
                <w:bCs w:val="0"/>
                <w:sz w:val="24"/>
                <w:u w:val="single"/>
                <w:lang w:val="en-US" w:eastAsia="zh-CN"/>
              </w:rPr>
              <w:t>釉用新材料</w:t>
            </w:r>
            <w:r>
              <w:rPr>
                <w:rFonts w:hint="eastAsia" w:ascii="Times New Roman" w:hAnsi="Times New Roman" w:cs="Times New Roman"/>
                <w:b/>
                <w:bCs w:val="0"/>
                <w:sz w:val="24"/>
                <w:u w:val="single"/>
              </w:rPr>
              <w:t>生产，发生火灾的可能性极小。</w:t>
            </w:r>
            <w:r>
              <w:rPr>
                <w:rFonts w:hint="eastAsia" w:cs="Times New Roman"/>
                <w:b/>
                <w:bCs/>
                <w:sz w:val="24"/>
                <w:u w:val="single"/>
                <w:lang w:val="en-US" w:eastAsia="zh-CN"/>
              </w:rPr>
              <w:t>距离本项目最近的环境敏感点为厂址东北侧89m处的井沟村，其次为厂址西南侧的梁洼第五小学，项目在认真落实相关风险管理措施的情况下，对敏感点影响较小。</w:t>
            </w:r>
          </w:p>
          <w:p>
            <w:pPr>
              <w:adjustRightInd w:val="0"/>
              <w:snapToGrid w:val="0"/>
              <w:spacing w:line="360" w:lineRule="auto"/>
              <w:ind w:firstLine="482" w:firstLineChars="200"/>
              <w:jc w:val="left"/>
              <w:rPr>
                <w:rFonts w:hint="default"/>
                <w:b/>
                <w:snapToGrid w:val="0"/>
                <w:kern w:val="0"/>
                <w:sz w:val="24"/>
              </w:rPr>
            </w:pPr>
            <w:bookmarkStart w:id="11" w:name="_Toc19608"/>
            <w:r>
              <w:rPr>
                <w:rFonts w:hint="eastAsia"/>
                <w:b/>
                <w:snapToGrid w:val="0"/>
                <w:kern w:val="0"/>
                <w:sz w:val="24"/>
                <w:lang w:val="en-US" w:eastAsia="zh-CN"/>
              </w:rPr>
              <w:t>7</w:t>
            </w:r>
            <w:r>
              <w:rPr>
                <w:rFonts w:hint="default"/>
                <w:b/>
                <w:snapToGrid w:val="0"/>
                <w:kern w:val="0"/>
                <w:sz w:val="24"/>
              </w:rPr>
              <w:t>.5</w:t>
            </w:r>
            <w:r>
              <w:rPr>
                <w:rFonts w:hint="eastAsia"/>
                <w:b/>
                <w:snapToGrid w:val="0"/>
                <w:kern w:val="0"/>
                <w:sz w:val="24"/>
              </w:rPr>
              <w:t>风险防范措施</w:t>
            </w:r>
            <w:bookmarkEnd w:id="11"/>
          </w:p>
          <w:p>
            <w:pPr>
              <w:spacing w:line="360" w:lineRule="auto"/>
              <w:ind w:firstLine="480" w:firstLineChars="200"/>
              <w:rPr>
                <w:rFonts w:hint="default"/>
                <w:sz w:val="24"/>
              </w:rPr>
            </w:pPr>
            <w:r>
              <w:rPr>
                <w:rFonts w:hint="eastAsia"/>
                <w:sz w:val="24"/>
              </w:rPr>
              <w:t>（</w:t>
            </w:r>
            <w:r>
              <w:rPr>
                <w:rFonts w:hint="default"/>
                <w:sz w:val="24"/>
              </w:rPr>
              <w:t>1</w:t>
            </w:r>
            <w:r>
              <w:rPr>
                <w:rFonts w:hint="eastAsia"/>
                <w:sz w:val="24"/>
              </w:rPr>
              <w:t>）天然气泄漏风险防范措施</w:t>
            </w:r>
          </w:p>
          <w:p>
            <w:pPr>
              <w:spacing w:line="360" w:lineRule="auto"/>
              <w:ind w:firstLine="480" w:firstLineChars="200"/>
              <w:rPr>
                <w:rFonts w:hint="default"/>
                <w:sz w:val="24"/>
              </w:rPr>
            </w:pPr>
            <w:r>
              <w:rPr>
                <w:rFonts w:hint="eastAsia"/>
                <w:sz w:val="24"/>
              </w:rPr>
              <w:t>①项目在建设过程中委托专业的有资质单位进行设计，设备的选型、安装、验收，工艺的布置以及相互之间的安全距离按照相应的规范和标准进行，建筑物按《建筑防火设计规范》的规定进行设计。</w:t>
            </w:r>
          </w:p>
          <w:p>
            <w:pPr>
              <w:spacing w:line="360" w:lineRule="auto"/>
              <w:ind w:firstLine="482" w:firstLineChars="200"/>
              <w:rPr>
                <w:rFonts w:hint="eastAsia"/>
                <w:b/>
                <w:bCs/>
                <w:sz w:val="24"/>
                <w:u w:val="single"/>
              </w:rPr>
            </w:pPr>
            <w:r>
              <w:rPr>
                <w:rFonts w:hint="eastAsia"/>
                <w:b/>
                <w:bCs/>
                <w:sz w:val="24"/>
                <w:u w:val="single"/>
              </w:rPr>
              <w:t>②天然气输入管线上应设置手动紧急截断阀。紧急截断阀的安装位置应便于发生事故时能及时切断气源，同时安装天然气自动检测报警仪。</w:t>
            </w:r>
          </w:p>
          <w:p>
            <w:pPr>
              <w:spacing w:line="360" w:lineRule="auto"/>
              <w:ind w:firstLine="480" w:firstLineChars="200"/>
              <w:rPr>
                <w:rFonts w:hint="default"/>
                <w:sz w:val="24"/>
              </w:rPr>
            </w:pPr>
            <w:r>
              <w:rPr>
                <w:rFonts w:hint="eastAsia"/>
                <w:sz w:val="24"/>
              </w:rPr>
              <w:t>③进行相关专业知识培训，严格持证上岗，相关作业人员应取得相应资格证书，管理人员具备了解掌握天然气火灾和消除火灾的措施及消防器材的使用等知识，并安排管道定期巡检工作，预防事故发生。</w:t>
            </w:r>
          </w:p>
          <w:p>
            <w:pPr>
              <w:spacing w:line="360" w:lineRule="auto"/>
              <w:ind w:firstLine="480" w:firstLineChars="200"/>
              <w:rPr>
                <w:rFonts w:hint="eastAsia"/>
                <w:sz w:val="24"/>
              </w:rPr>
            </w:pPr>
            <w:r>
              <w:rPr>
                <w:rFonts w:hint="eastAsia"/>
                <w:sz w:val="24"/>
              </w:rPr>
              <w:t>④加强设备维修保养，所有管道、阀门等连接部位都应该连接牢固，做到严密、不渗、不漏。预防天然气物料意外泄露事故。</w:t>
            </w:r>
          </w:p>
          <w:p>
            <w:pPr>
              <w:spacing w:line="360" w:lineRule="auto"/>
              <w:ind w:firstLine="480" w:firstLineChars="200"/>
              <w:rPr>
                <w:rFonts w:hint="eastAsia"/>
                <w:sz w:val="24"/>
              </w:rPr>
            </w:pPr>
            <w:r>
              <w:rPr>
                <w:rFonts w:hint="eastAsia"/>
                <w:sz w:val="24"/>
              </w:rPr>
              <w:t>⑤加强明火管理，严防火种进入，具体应做好以下几点：应在醒目位置设立“严禁烟火”、“禁火区”等警示标语和标牌。禁止任何人携带火种（打火机、火柴、烟头等）和易产生碰撞火花的钉鞋等进入生产区内。操作和维修设备时，应采用不发火的工具。生产区内，不准无阻火器车辆行驶，要严格限制外单位车辆进入生产区。</w:t>
            </w:r>
          </w:p>
          <w:p>
            <w:pPr>
              <w:spacing w:line="360" w:lineRule="auto"/>
              <w:ind w:firstLine="482" w:firstLineChars="200"/>
              <w:rPr>
                <w:rFonts w:hint="eastAsia"/>
                <w:sz w:val="24"/>
              </w:rPr>
            </w:pPr>
            <w:r>
              <w:rPr>
                <w:rFonts w:hint="eastAsia"/>
                <w:b/>
                <w:bCs/>
                <w:sz w:val="24"/>
                <w:u w:val="single"/>
              </w:rPr>
              <w:t>⑥配置消防器材、加强防爆电气设备的日常巡视和检查工作。</w:t>
            </w:r>
          </w:p>
          <w:p>
            <w:pPr>
              <w:spacing w:line="360" w:lineRule="auto"/>
              <w:ind w:firstLine="480" w:firstLineChars="200"/>
              <w:rPr>
                <w:rFonts w:hint="eastAsia"/>
                <w:sz w:val="24"/>
              </w:rPr>
            </w:pPr>
            <w:r>
              <w:rPr>
                <w:rFonts w:hint="eastAsia"/>
                <w:sz w:val="24"/>
              </w:rPr>
              <w:t>⑦安全、通风、阻爆、隔爆、泄露等设施应完善有效，未经主管部门许可，不得拆除或弃用。</w:t>
            </w:r>
          </w:p>
          <w:p>
            <w:pPr>
              <w:spacing w:line="360" w:lineRule="auto"/>
              <w:ind w:firstLine="480" w:firstLineChars="200"/>
              <w:rPr>
                <w:rFonts w:hint="default"/>
                <w:sz w:val="24"/>
              </w:rPr>
            </w:pPr>
            <w:r>
              <w:rPr>
                <w:rFonts w:hint="eastAsia"/>
                <w:sz w:val="24"/>
              </w:rPr>
              <w:t>（</w:t>
            </w:r>
            <w:r>
              <w:rPr>
                <w:rFonts w:hint="default"/>
                <w:sz w:val="24"/>
              </w:rPr>
              <w:t>2</w:t>
            </w:r>
            <w:r>
              <w:rPr>
                <w:rFonts w:hint="eastAsia"/>
                <w:sz w:val="24"/>
              </w:rPr>
              <w:t>）环境风险事故应急处理措施</w:t>
            </w:r>
          </w:p>
          <w:p>
            <w:pPr>
              <w:spacing w:line="360" w:lineRule="auto"/>
              <w:ind w:firstLine="480" w:firstLineChars="200"/>
              <w:rPr>
                <w:rFonts w:hint="default"/>
                <w:sz w:val="24"/>
              </w:rPr>
            </w:pPr>
            <w:r>
              <w:rPr>
                <w:rFonts w:hint="eastAsia"/>
                <w:sz w:val="24"/>
              </w:rPr>
              <w:t>眼睛接触：用大量的水至少冲洗</w:t>
            </w:r>
            <w:r>
              <w:rPr>
                <w:rFonts w:hint="default"/>
                <w:sz w:val="24"/>
              </w:rPr>
              <w:t>15</w:t>
            </w:r>
            <w:r>
              <w:rPr>
                <w:rFonts w:hint="eastAsia"/>
                <w:sz w:val="24"/>
              </w:rPr>
              <w:t>分钟。将眼睑拉开充分清洗。马上就医。</w:t>
            </w:r>
          </w:p>
          <w:p>
            <w:pPr>
              <w:spacing w:line="360" w:lineRule="auto"/>
              <w:ind w:firstLine="480" w:firstLineChars="200"/>
              <w:rPr>
                <w:rFonts w:hint="default"/>
                <w:sz w:val="24"/>
              </w:rPr>
            </w:pPr>
            <w:r>
              <w:rPr>
                <w:rFonts w:hint="eastAsia"/>
                <w:sz w:val="24"/>
              </w:rPr>
              <w:t>皮肤接触：马上就医。</w:t>
            </w:r>
          </w:p>
          <w:p>
            <w:pPr>
              <w:spacing w:line="360" w:lineRule="auto"/>
              <w:ind w:firstLine="480" w:firstLineChars="200"/>
              <w:rPr>
                <w:rFonts w:hint="default"/>
                <w:sz w:val="24"/>
              </w:rPr>
            </w:pPr>
            <w:r>
              <w:rPr>
                <w:rFonts w:hint="eastAsia"/>
                <w:sz w:val="24"/>
              </w:rPr>
              <w:t>吸入：马上离开。如果呼吸困难，马上供应氧气。如果呼吸停止，先供氧然后人工呼吸。马上就医。</w:t>
            </w:r>
          </w:p>
          <w:p>
            <w:pPr>
              <w:spacing w:line="360" w:lineRule="auto"/>
              <w:ind w:firstLine="480" w:firstLineChars="200"/>
              <w:rPr>
                <w:rFonts w:hint="default"/>
                <w:sz w:val="24"/>
              </w:rPr>
            </w:pPr>
            <w:r>
              <w:rPr>
                <w:rFonts w:hint="eastAsia"/>
                <w:sz w:val="24"/>
              </w:rPr>
              <w:t>摄入：马上就医。</w:t>
            </w:r>
          </w:p>
          <w:p>
            <w:pPr>
              <w:spacing w:line="360" w:lineRule="auto"/>
              <w:ind w:firstLine="480" w:firstLineChars="200"/>
              <w:rPr>
                <w:rFonts w:hint="default"/>
                <w:sz w:val="24"/>
              </w:rPr>
            </w:pPr>
            <w:r>
              <w:rPr>
                <w:rFonts w:hint="eastAsia"/>
                <w:sz w:val="24"/>
              </w:rPr>
              <w:t>应急处置：发生</w:t>
            </w:r>
            <w:r>
              <w:rPr>
                <w:rFonts w:hint="eastAsia"/>
                <w:sz w:val="24"/>
                <w:lang w:val="en-US" w:eastAsia="zh-CN"/>
              </w:rPr>
              <w:t>天然气</w:t>
            </w:r>
            <w:r>
              <w:rPr>
                <w:rFonts w:hint="eastAsia"/>
                <w:sz w:val="24"/>
              </w:rPr>
              <w:t>泄漏后，未被点燃情况下，任何需要进入的应急人员需穿戴防护服和呼吸保护装备，包括消防员的防护服、安全帽、面罩、手套、靴子与空气袋。采用高倍数泡沫覆盖池液表面，同时在泄漏区外围喷雾降温，降低池液的挥发速度。如发生火灾时，应该用干粉灭火器、二氧化碳灭火器灭火，不可采用水流直接灭火。</w:t>
            </w:r>
          </w:p>
          <w:p>
            <w:pPr>
              <w:spacing w:line="360" w:lineRule="auto"/>
              <w:ind w:firstLine="480" w:firstLineChars="200"/>
              <w:rPr>
                <w:rFonts w:hint="default"/>
                <w:sz w:val="24"/>
              </w:rPr>
            </w:pPr>
            <w:r>
              <w:rPr>
                <w:rFonts w:hint="eastAsia"/>
                <w:sz w:val="24"/>
              </w:rPr>
              <w:t>（</w:t>
            </w:r>
            <w:r>
              <w:rPr>
                <w:rFonts w:hint="default"/>
                <w:sz w:val="24"/>
              </w:rPr>
              <w:t>3</w:t>
            </w:r>
            <w:r>
              <w:rPr>
                <w:rFonts w:hint="eastAsia"/>
                <w:sz w:val="24"/>
              </w:rPr>
              <w:t>）事故水池容积核算</w:t>
            </w:r>
          </w:p>
          <w:p>
            <w:pPr>
              <w:spacing w:line="360" w:lineRule="auto"/>
              <w:ind w:firstLine="480" w:firstLineChars="200"/>
              <w:rPr>
                <w:rFonts w:hint="default"/>
                <w:sz w:val="24"/>
              </w:rPr>
            </w:pPr>
            <w:r>
              <w:rPr>
                <w:rFonts w:hint="eastAsia"/>
                <w:sz w:val="24"/>
              </w:rPr>
              <w:t>根据《建筑设计防火规范》（</w:t>
            </w:r>
            <w:r>
              <w:rPr>
                <w:rFonts w:hint="default"/>
                <w:sz w:val="24"/>
              </w:rPr>
              <w:t>GB50016-2006</w:t>
            </w:r>
            <w:r>
              <w:rPr>
                <w:rFonts w:hint="eastAsia"/>
                <w:sz w:val="24"/>
              </w:rPr>
              <w:t>），消防水量为</w:t>
            </w:r>
            <w:r>
              <w:rPr>
                <w:rFonts w:hint="default"/>
                <w:sz w:val="24"/>
              </w:rPr>
              <w:t>5-30L/S</w:t>
            </w:r>
            <w:r>
              <w:rPr>
                <w:rFonts w:hint="eastAsia"/>
                <w:sz w:val="24"/>
              </w:rPr>
              <w:t>；本项目取</w:t>
            </w:r>
            <w:r>
              <w:rPr>
                <w:rFonts w:hint="default"/>
                <w:sz w:val="24"/>
              </w:rPr>
              <w:t>10L/S</w:t>
            </w:r>
            <w:r>
              <w:rPr>
                <w:rFonts w:hint="eastAsia"/>
                <w:sz w:val="24"/>
              </w:rPr>
              <w:t>，火灾延续供水时间按照</w:t>
            </w:r>
            <w:r>
              <w:rPr>
                <w:rFonts w:hint="default"/>
                <w:sz w:val="24"/>
              </w:rPr>
              <w:t>1</w:t>
            </w:r>
            <w:r>
              <w:rPr>
                <w:rFonts w:hint="eastAsia"/>
                <w:sz w:val="24"/>
              </w:rPr>
              <w:t>个小时计算，事故全厂消防水量为</w:t>
            </w:r>
            <w:r>
              <w:rPr>
                <w:rFonts w:hint="default"/>
                <w:sz w:val="24"/>
              </w:rPr>
              <w:t>36m</w:t>
            </w:r>
            <w:r>
              <w:rPr>
                <w:rFonts w:hint="default"/>
                <w:sz w:val="24"/>
                <w:vertAlign w:val="superscript"/>
              </w:rPr>
              <w:t>3</w:t>
            </w:r>
            <w:r>
              <w:rPr>
                <w:rFonts w:hint="eastAsia"/>
                <w:sz w:val="24"/>
              </w:rPr>
              <w:t>。</w:t>
            </w:r>
          </w:p>
          <w:p>
            <w:pPr>
              <w:spacing w:line="360" w:lineRule="auto"/>
              <w:ind w:firstLine="480" w:firstLineChars="200"/>
              <w:rPr>
                <w:rFonts w:hint="default"/>
                <w:sz w:val="24"/>
              </w:rPr>
            </w:pPr>
            <w:r>
              <w:rPr>
                <w:rFonts w:hint="eastAsia"/>
                <w:sz w:val="24"/>
              </w:rPr>
              <w:t>本次评价建议建设单位设置一个</w:t>
            </w:r>
            <w:r>
              <w:rPr>
                <w:rFonts w:hint="default"/>
                <w:sz w:val="24"/>
              </w:rPr>
              <w:t>40m</w:t>
            </w:r>
            <w:r>
              <w:rPr>
                <w:rFonts w:hint="default"/>
                <w:sz w:val="24"/>
                <w:vertAlign w:val="superscript"/>
              </w:rPr>
              <w:t>3</w:t>
            </w:r>
            <w:r>
              <w:rPr>
                <w:rFonts w:hint="eastAsia"/>
                <w:sz w:val="24"/>
              </w:rPr>
              <w:t>消防废水池，可容纳事故状态下各类废水。消防废水池采用</w:t>
            </w:r>
            <w:r>
              <w:rPr>
                <w:rFonts w:hint="default"/>
                <w:sz w:val="24"/>
              </w:rPr>
              <w:t>HDPE</w:t>
            </w:r>
            <w:r>
              <w:rPr>
                <w:rFonts w:hint="eastAsia"/>
                <w:sz w:val="24"/>
              </w:rPr>
              <w:t>土工膜和粘土结合型防渗材料，渗透系数≤</w:t>
            </w:r>
            <w:r>
              <w:rPr>
                <w:rFonts w:hint="default"/>
                <w:sz w:val="24"/>
              </w:rPr>
              <w:t>1</w:t>
            </w:r>
            <w:r>
              <w:rPr>
                <w:rFonts w:hint="eastAsia"/>
                <w:sz w:val="24"/>
              </w:rPr>
              <w:t>×</w:t>
            </w:r>
            <w:r>
              <w:rPr>
                <w:rFonts w:hint="default"/>
                <w:sz w:val="24"/>
              </w:rPr>
              <w:t>10</w:t>
            </w:r>
            <w:r>
              <w:rPr>
                <w:rFonts w:hint="default"/>
                <w:sz w:val="24"/>
                <w:vertAlign w:val="superscript"/>
              </w:rPr>
              <w:t>-10</w:t>
            </w:r>
            <w:r>
              <w:rPr>
                <w:rFonts w:hint="default"/>
                <w:sz w:val="24"/>
              </w:rPr>
              <w:t>cm/s</w:t>
            </w:r>
            <w:r>
              <w:rPr>
                <w:rFonts w:hint="eastAsia"/>
                <w:sz w:val="24"/>
              </w:rPr>
              <w:t>。消防废水经检测、评估后可根据实际情况，在咨询相关环保、消防专家的意见的前提下，制定可靠的废水处理方案，对废水进行合理处置，保证其达标排放。综上，本项目事故状态下的废水均可以得到有效处置，对周围环境影响不大。</w:t>
            </w:r>
          </w:p>
          <w:p>
            <w:pPr>
              <w:adjustRightInd w:val="0"/>
              <w:snapToGrid w:val="0"/>
              <w:spacing w:line="360" w:lineRule="auto"/>
              <w:ind w:firstLine="482" w:firstLineChars="200"/>
              <w:jc w:val="left"/>
              <w:rPr>
                <w:rFonts w:hint="default"/>
                <w:b/>
                <w:snapToGrid w:val="0"/>
                <w:kern w:val="0"/>
                <w:sz w:val="24"/>
              </w:rPr>
            </w:pPr>
            <w:bookmarkStart w:id="12" w:name="_Toc9985"/>
            <w:r>
              <w:rPr>
                <w:rFonts w:hint="eastAsia"/>
                <w:b/>
                <w:snapToGrid w:val="0"/>
                <w:kern w:val="0"/>
                <w:sz w:val="24"/>
                <w:lang w:val="en-US" w:eastAsia="zh-CN"/>
              </w:rPr>
              <w:t>7</w:t>
            </w:r>
            <w:r>
              <w:rPr>
                <w:rFonts w:hint="default"/>
                <w:b/>
                <w:snapToGrid w:val="0"/>
                <w:kern w:val="0"/>
                <w:sz w:val="24"/>
              </w:rPr>
              <w:t>.6</w:t>
            </w:r>
            <w:r>
              <w:rPr>
                <w:rFonts w:hint="eastAsia"/>
                <w:b/>
                <w:snapToGrid w:val="0"/>
                <w:kern w:val="0"/>
                <w:sz w:val="24"/>
              </w:rPr>
              <w:t>突发环境事件应急预案要求</w:t>
            </w:r>
            <w:bookmarkEnd w:id="12"/>
          </w:p>
          <w:p>
            <w:pPr>
              <w:spacing w:line="360" w:lineRule="auto"/>
              <w:ind w:firstLine="480" w:firstLineChars="200"/>
              <w:rPr>
                <w:rFonts w:hint="default"/>
                <w:b/>
                <w:bCs/>
                <w:sz w:val="24"/>
                <w:u w:val="single"/>
              </w:rPr>
            </w:pPr>
            <w:r>
              <w:rPr>
                <w:rFonts w:hint="eastAsia"/>
                <w:sz w:val="24"/>
              </w:rPr>
              <w:t>根据环发</w:t>
            </w:r>
            <w:r>
              <w:rPr>
                <w:rFonts w:hint="default"/>
                <w:sz w:val="24"/>
              </w:rPr>
              <w:t>[2012]77</w:t>
            </w:r>
            <w:r>
              <w:rPr>
                <w:rFonts w:hint="eastAsia"/>
                <w:sz w:val="24"/>
              </w:rPr>
              <w:t>号文的要求，企业应建设并完善日常和应急监测系统，编制日常和应急监测方案，提高监控水平、应急响应速度和应急处理能力；建立完备的环境信息平台，定期向社会公布企业环境信息，接受公众监督。</w:t>
            </w:r>
            <w:r>
              <w:rPr>
                <w:rFonts w:hint="eastAsia"/>
                <w:b/>
                <w:bCs/>
                <w:sz w:val="24"/>
                <w:u w:val="single"/>
              </w:rPr>
              <w:t>企业应将突发环境事件应急预案演练和应急物资管理作为日常工作任务，不断提升环境风险防范应急保障能力。企业突发环境事件应急预案应与当地政府和相关部门以及周边企业的应急预案相衔接，加强区域应急物资调配管理，构建区域环境风险联控机制。</w:t>
            </w:r>
          </w:p>
          <w:p>
            <w:pPr>
              <w:spacing w:line="360" w:lineRule="auto"/>
              <w:ind w:firstLine="480" w:firstLineChars="200"/>
              <w:rPr>
                <w:rFonts w:hint="default"/>
                <w:sz w:val="24"/>
              </w:rPr>
            </w:pPr>
            <w:r>
              <w:rPr>
                <w:rFonts w:hint="eastAsia"/>
                <w:sz w:val="24"/>
              </w:rPr>
              <w:t>根据导则要求并结合项目特点，需制定的相关环境保护应急预案主要内容见下表。</w:t>
            </w:r>
          </w:p>
          <w:p>
            <w:pPr>
              <w:spacing w:line="360" w:lineRule="auto"/>
              <w:ind w:firstLine="482" w:firstLineChars="200"/>
              <w:jc w:val="center"/>
              <w:rPr>
                <w:rFonts w:hint="default"/>
                <w:b/>
                <w:color w:val="000000"/>
                <w:sz w:val="24"/>
              </w:rPr>
            </w:pPr>
            <w:r>
              <w:rPr>
                <w:rFonts w:hint="eastAsia"/>
                <w:b/>
                <w:color w:val="000000"/>
                <w:sz w:val="24"/>
              </w:rPr>
              <w:t>表</w:t>
            </w:r>
            <w:r>
              <w:rPr>
                <w:rFonts w:hint="eastAsia"/>
                <w:b/>
                <w:color w:val="000000"/>
                <w:sz w:val="24"/>
                <w:lang w:val="en-US" w:eastAsia="zh-CN"/>
              </w:rPr>
              <w:t>4-26</w:t>
            </w:r>
            <w:r>
              <w:rPr>
                <w:rFonts w:hint="default"/>
                <w:b/>
                <w:color w:val="000000"/>
                <w:sz w:val="24"/>
              </w:rPr>
              <w:t xml:space="preserve">    </w:t>
            </w:r>
            <w:r>
              <w:rPr>
                <w:rFonts w:hint="eastAsia"/>
                <w:b/>
                <w:color w:val="000000"/>
                <w:sz w:val="24"/>
              </w:rPr>
              <w:t>企业突发环境事件应急预案一览表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4"/>
              <w:gridCol w:w="1567"/>
              <w:gridCol w:w="5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sz w:val="21"/>
                    </w:rPr>
                  </w:pPr>
                  <w:r>
                    <w:rPr>
                      <w:rFonts w:hint="eastAsia"/>
                      <w:b/>
                      <w:sz w:val="21"/>
                    </w:rPr>
                    <w:t>序号</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sz w:val="21"/>
                    </w:rPr>
                  </w:pPr>
                  <w:r>
                    <w:rPr>
                      <w:rFonts w:hint="eastAsia"/>
                      <w:b/>
                      <w:sz w:val="21"/>
                    </w:rPr>
                    <w:t>项目</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b/>
                      <w:sz w:val="21"/>
                    </w:rPr>
                  </w:pPr>
                  <w:r>
                    <w:rPr>
                      <w:rFonts w:hint="eastAsia"/>
                      <w:b/>
                      <w:sz w:val="21"/>
                    </w:rPr>
                    <w:t>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总则</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sz w:val="21"/>
                    </w:rPr>
                  </w:pPr>
                  <w:r>
                    <w:rPr>
                      <w:rFonts w:hint="eastAsia"/>
                      <w:sz w:val="21"/>
                    </w:rPr>
                    <w:t>简述生产过程中涉及物料性质及可能产生的突发事故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2</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危险源概况</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对可能发生风险的生产设备等进行详细的描述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3</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应急计划区</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sz w:val="21"/>
                    </w:rPr>
                  </w:pPr>
                  <w:r>
                    <w:rPr>
                      <w:rFonts w:hint="eastAsia"/>
                      <w:sz w:val="21"/>
                      <w:lang w:val="en-US" w:eastAsia="zh-CN"/>
                    </w:rPr>
                    <w:t>生产设备、</w:t>
                  </w:r>
                  <w:r>
                    <w:rPr>
                      <w:rFonts w:hint="eastAsia"/>
                      <w:sz w:val="21"/>
                    </w:rPr>
                    <w:t>天然气</w:t>
                  </w:r>
                  <w:r>
                    <w:rPr>
                      <w:rFonts w:hint="eastAsia"/>
                      <w:sz w:val="21"/>
                      <w:lang w:val="en-US" w:eastAsia="zh-CN"/>
                    </w:rPr>
                    <w:t>管道</w:t>
                  </w:r>
                  <w:r>
                    <w:rPr>
                      <w:rFonts w:hint="eastAsia"/>
                      <w:sz w:val="21"/>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4</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应急组织</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工厂：厂指挥部</w:t>
                  </w:r>
                  <w:r>
                    <w:rPr>
                      <w:rFonts w:hint="default"/>
                      <w:b/>
                      <w:sz w:val="21"/>
                    </w:rPr>
                    <w:t>—</w:t>
                  </w:r>
                  <w:r>
                    <w:rPr>
                      <w:rFonts w:hint="eastAsia"/>
                      <w:sz w:val="21"/>
                    </w:rPr>
                    <w:t>负责全厂全面指挥危险源控制组</w:t>
                  </w:r>
                  <w:r>
                    <w:rPr>
                      <w:rFonts w:hint="default"/>
                      <w:b/>
                      <w:sz w:val="21"/>
                    </w:rPr>
                    <w:t>—</w:t>
                  </w:r>
                  <w:r>
                    <w:rPr>
                      <w:rFonts w:hint="eastAsia"/>
                      <w:sz w:val="21"/>
                    </w:rPr>
                    <w:t>负责在紧急状态下的现场抢险作业，及时控制危险源专业救援队伍</w:t>
                  </w:r>
                  <w:r>
                    <w:rPr>
                      <w:rFonts w:hint="default"/>
                      <w:b/>
                      <w:sz w:val="21"/>
                    </w:rPr>
                    <w:t>—</w:t>
                  </w:r>
                  <w:r>
                    <w:rPr>
                      <w:rFonts w:hint="eastAsia"/>
                      <w:sz w:val="21"/>
                    </w:rPr>
                    <w:t>负责事故控制、救援善后处理</w:t>
                  </w:r>
                </w:p>
                <w:p>
                  <w:pPr>
                    <w:topLinePunct/>
                    <w:rPr>
                      <w:rFonts w:hint="default"/>
                      <w:sz w:val="21"/>
                    </w:rPr>
                  </w:pPr>
                  <w:r>
                    <w:rPr>
                      <w:rFonts w:hint="eastAsia"/>
                      <w:sz w:val="21"/>
                    </w:rPr>
                    <w:t>地区：地区指挥部</w:t>
                  </w:r>
                  <w:r>
                    <w:rPr>
                      <w:rFonts w:hint="default"/>
                      <w:b/>
                      <w:sz w:val="21"/>
                    </w:rPr>
                    <w:t>—</w:t>
                  </w:r>
                  <w:r>
                    <w:rPr>
                      <w:rFonts w:hint="eastAsia"/>
                      <w:sz w:val="21"/>
                    </w:rPr>
                    <w:t>负责工厂附近地区、全面指挥、救援、疏散专业救援队伍</w:t>
                  </w:r>
                  <w:r>
                    <w:rPr>
                      <w:rFonts w:hint="default"/>
                      <w:b/>
                      <w:sz w:val="21"/>
                    </w:rPr>
                    <w:t>—</w:t>
                  </w:r>
                  <w:r>
                    <w:rPr>
                      <w:rFonts w:hint="eastAsia"/>
                      <w:sz w:val="21"/>
                    </w:rPr>
                    <w:t>负责对厂专业救援队伍支援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5</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应急状态及应急响应程序</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规定事故的级别及相应的应急分类响应程序，主要包括报警与接警、应急救援队伍的出动、泄漏救援和火灾控制等方面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6</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应急设施、设备与材料</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生产装置：（</w:t>
                  </w:r>
                  <w:r>
                    <w:rPr>
                      <w:rFonts w:hint="default"/>
                      <w:sz w:val="21"/>
                    </w:rPr>
                    <w:t>1</w:t>
                  </w:r>
                  <w:r>
                    <w:rPr>
                      <w:rFonts w:hint="eastAsia"/>
                      <w:sz w:val="21"/>
                    </w:rPr>
                    <w:t>）防火灾、爆炸事故应急设施、设备与材料，主要为消防器材；（</w:t>
                  </w:r>
                  <w:r>
                    <w:rPr>
                      <w:rFonts w:hint="default"/>
                      <w:sz w:val="21"/>
                    </w:rPr>
                    <w:t>2</w:t>
                  </w:r>
                  <w:r>
                    <w:rPr>
                      <w:rFonts w:hint="eastAsia"/>
                      <w:sz w:val="21"/>
                    </w:rPr>
                    <w:t>）防止原辅材料外溢、扩散，主要是土料、沙袋等。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7</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应急通讯、通知和交通</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规定应急状态下的通讯方式、通知方式和交通保障、管制。</w:t>
                  </w:r>
                </w:p>
                <w:p>
                  <w:pPr>
                    <w:topLinePunct/>
                    <w:jc w:val="left"/>
                    <w:rPr>
                      <w:rFonts w:hint="default"/>
                      <w:sz w:val="21"/>
                    </w:rPr>
                  </w:pPr>
                  <w:r>
                    <w:rPr>
                      <w:rFonts w:hint="eastAsia"/>
                      <w:sz w:val="21"/>
                    </w:rPr>
                    <w:t>厂区若发生泄漏或爆炸事故，应立即通知当地消防部门、安全部门及环保部门，三方联合行动。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8</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应急环境监测及事故后评估</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由专业队伍对事故现场进行侦察监测，对事故性质、参数与后果进行评估，为指挥部门提供决策依据；</w:t>
                  </w:r>
                </w:p>
                <w:p>
                  <w:pPr>
                    <w:topLinePunct/>
                    <w:rPr>
                      <w:rFonts w:hint="default"/>
                      <w:sz w:val="21"/>
                    </w:rPr>
                  </w:pPr>
                  <w:r>
                    <w:rPr>
                      <w:rFonts w:hint="eastAsia"/>
                      <w:sz w:val="21"/>
                    </w:rPr>
                    <w:t>当发生物料泄漏情况时，应重点对厂址周边村庄进行监测，并在事后进行跟踪监测，以对事故后果进行评估。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9</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应急防护措施、消除泄漏措施方法和器材</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事故现场：控制事故、防止扩大、漫延及链锁反应、消除现场泄漏物、降低危害；相应的设施器材配备</w:t>
                  </w:r>
                </w:p>
                <w:p>
                  <w:pPr>
                    <w:topLinePunct/>
                    <w:adjustRightInd w:val="0"/>
                    <w:rPr>
                      <w:rFonts w:hint="default"/>
                      <w:sz w:val="21"/>
                    </w:rPr>
                  </w:pPr>
                  <w:r>
                    <w:rPr>
                      <w:rFonts w:hint="eastAsia"/>
                      <w:sz w:val="21"/>
                    </w:rPr>
                    <w:t>邻近区域：控制火区域，控制和消除污染措施及相应设备配备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10</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应急剂量控制、撤离组织计划、医疗救</w:t>
                  </w:r>
                </w:p>
                <w:p>
                  <w:pPr>
                    <w:topLinePunct/>
                    <w:adjustRightInd w:val="0"/>
                    <w:jc w:val="center"/>
                    <w:rPr>
                      <w:rFonts w:hint="default"/>
                      <w:sz w:val="21"/>
                    </w:rPr>
                  </w:pPr>
                  <w:r>
                    <w:rPr>
                      <w:rFonts w:hint="eastAsia"/>
                      <w:sz w:val="21"/>
                    </w:rPr>
                    <w:t>护与公众健康</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事故现场：事故处理人员对毒物的应急剂量控制规定，现场及邻近装置人员撤离组织计划及救护</w:t>
                  </w:r>
                </w:p>
                <w:p>
                  <w:pPr>
                    <w:topLinePunct/>
                    <w:rPr>
                      <w:rFonts w:hint="default"/>
                      <w:sz w:val="21"/>
                    </w:rPr>
                  </w:pPr>
                  <w:r>
                    <w:rPr>
                      <w:rFonts w:hint="eastAsia"/>
                      <w:sz w:val="21"/>
                    </w:rPr>
                    <w:t>工厂邻近区：受事故影响的邻近区域人员及公众对毒物应急剂量控制规定，撤离组织计划及救护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11</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应急状态终止与恢复措施</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规定应急状态终止程序：事故善后处理，恢复措施；邻近区域解除事故警戒及善后恢复措施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12</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人员培训与演练</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应急计划制定后，平时安排人员培训及演练（演练半年一次，培训一个月一次），对新工人上岗前进行三级安全教育。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13</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公众教育和信息</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sz w:val="21"/>
                    </w:rPr>
                  </w:pPr>
                  <w:r>
                    <w:rPr>
                      <w:rFonts w:hint="eastAsia"/>
                      <w:sz w:val="21"/>
                    </w:rPr>
                    <w:t>对工厂邻近地区开展公众教育、培训与发布相关信息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14</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记录和报告</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设置应急事故专门记录，建立档案和专门报告制度，设专门部门和负责管理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74"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15</w:t>
                  </w:r>
                </w:p>
              </w:tc>
              <w:tc>
                <w:tcPr>
                  <w:tcW w:w="156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附件</w:t>
                  </w:r>
                </w:p>
              </w:tc>
              <w:tc>
                <w:tcPr>
                  <w:tcW w:w="5695"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rPr>
                      <w:rFonts w:hint="default"/>
                      <w:sz w:val="21"/>
                    </w:rPr>
                  </w:pPr>
                  <w:r>
                    <w:rPr>
                      <w:rFonts w:hint="eastAsia"/>
                      <w:sz w:val="21"/>
                    </w:rPr>
                    <w:t>与应急事故有关的多种附件材料的准备和形成</w:t>
                  </w:r>
                </w:p>
              </w:tc>
            </w:tr>
          </w:tbl>
          <w:p>
            <w:pPr>
              <w:adjustRightInd w:val="0"/>
              <w:snapToGrid w:val="0"/>
              <w:spacing w:line="360" w:lineRule="auto"/>
              <w:ind w:firstLine="482" w:firstLineChars="200"/>
              <w:jc w:val="left"/>
              <w:rPr>
                <w:rFonts w:hint="default"/>
                <w:b/>
                <w:snapToGrid w:val="0"/>
                <w:kern w:val="0"/>
                <w:sz w:val="24"/>
              </w:rPr>
            </w:pPr>
            <w:bookmarkStart w:id="13" w:name="_Toc1046"/>
            <w:r>
              <w:rPr>
                <w:rFonts w:hint="eastAsia"/>
                <w:b/>
                <w:snapToGrid w:val="0"/>
                <w:kern w:val="0"/>
                <w:sz w:val="24"/>
                <w:lang w:val="en-US" w:eastAsia="zh-CN"/>
              </w:rPr>
              <w:t>7</w:t>
            </w:r>
            <w:r>
              <w:rPr>
                <w:rFonts w:hint="default"/>
                <w:b/>
                <w:snapToGrid w:val="0"/>
                <w:kern w:val="0"/>
                <w:sz w:val="24"/>
              </w:rPr>
              <w:t>.7</w:t>
            </w:r>
            <w:r>
              <w:rPr>
                <w:rFonts w:hint="eastAsia"/>
                <w:b/>
                <w:snapToGrid w:val="0"/>
                <w:kern w:val="0"/>
                <w:sz w:val="24"/>
              </w:rPr>
              <w:t>分析结论</w:t>
            </w:r>
            <w:bookmarkEnd w:id="13"/>
          </w:p>
          <w:p>
            <w:pPr>
              <w:spacing w:line="360" w:lineRule="auto"/>
              <w:ind w:firstLine="480" w:firstLineChars="200"/>
              <w:rPr>
                <w:rFonts w:hint="default"/>
                <w:sz w:val="24"/>
              </w:rPr>
            </w:pPr>
            <w:r>
              <w:rPr>
                <w:rFonts w:hint="eastAsia"/>
                <w:sz w:val="24"/>
              </w:rPr>
              <w:t>本项目环境风险简单分析内容表见下表。</w:t>
            </w:r>
          </w:p>
          <w:p>
            <w:pPr>
              <w:spacing w:line="360" w:lineRule="auto"/>
              <w:ind w:firstLine="482" w:firstLineChars="200"/>
              <w:jc w:val="center"/>
              <w:rPr>
                <w:rFonts w:hint="default"/>
                <w:b/>
                <w:color w:val="000000"/>
                <w:sz w:val="24"/>
              </w:rPr>
            </w:pPr>
            <w:r>
              <w:rPr>
                <w:rFonts w:hint="eastAsia"/>
                <w:b/>
                <w:color w:val="000000"/>
                <w:sz w:val="24"/>
              </w:rPr>
              <w:t>表</w:t>
            </w:r>
            <w:r>
              <w:rPr>
                <w:rFonts w:hint="eastAsia"/>
                <w:b/>
                <w:color w:val="000000"/>
                <w:sz w:val="24"/>
                <w:lang w:val="en-US" w:eastAsia="zh-CN"/>
              </w:rPr>
              <w:t>4-27</w:t>
            </w:r>
            <w:r>
              <w:rPr>
                <w:rFonts w:hint="default"/>
                <w:b/>
                <w:color w:val="000000"/>
                <w:sz w:val="24"/>
              </w:rPr>
              <w:t xml:space="preserve">    </w:t>
            </w:r>
            <w:r>
              <w:rPr>
                <w:rFonts w:hint="eastAsia"/>
                <w:b/>
                <w:color w:val="000000"/>
                <w:sz w:val="24"/>
              </w:rPr>
              <w:t>建设项目环境风险简单分析内容表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587"/>
              <w:gridCol w:w="1587"/>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建设项目名称</w:t>
                  </w:r>
                </w:p>
              </w:tc>
              <w:tc>
                <w:tcPr>
                  <w:tcW w:w="6349" w:type="dxa"/>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河南省成丰新型材料科技有限公司年产</w:t>
                  </w:r>
                  <w:r>
                    <w:rPr>
                      <w:rFonts w:hint="default"/>
                      <w:sz w:val="21"/>
                    </w:rPr>
                    <w:t>8</w:t>
                  </w:r>
                  <w:r>
                    <w:rPr>
                      <w:rFonts w:hint="eastAsia"/>
                      <w:sz w:val="21"/>
                    </w:rPr>
                    <w:t>万吨新型材料加工项目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建设地点</w:t>
                  </w:r>
                </w:p>
              </w:tc>
              <w:tc>
                <w:tcPr>
                  <w:tcW w:w="6349" w:type="dxa"/>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平顶山市鲁山县产业集聚区北区梁张路与兴工路交叉口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地理坐标</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经度</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112.928018</w:t>
                  </w:r>
                </w:p>
              </w:tc>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纬度</w:t>
                  </w:r>
                </w:p>
              </w:tc>
              <w:tc>
                <w:tcPr>
                  <w:tcW w:w="1588"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default"/>
                      <w:sz w:val="21"/>
                    </w:rPr>
                    <w:t>33.795180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主要危险物质及分布</w:t>
                  </w:r>
                </w:p>
              </w:tc>
              <w:tc>
                <w:tcPr>
                  <w:tcW w:w="6349" w:type="dxa"/>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eastAsia" w:eastAsia="宋体"/>
                      <w:sz w:val="21"/>
                      <w:lang w:val="en-US" w:eastAsia="zh-CN"/>
                    </w:rPr>
                  </w:pPr>
                  <w:r>
                    <w:rPr>
                      <w:rFonts w:hint="eastAsia"/>
                      <w:sz w:val="21"/>
                      <w:lang w:val="en-US" w:eastAsia="zh-CN"/>
                    </w:rPr>
                    <w:t>主要危险物质：天然气；分布：天然气管道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jc w:val="center"/>
                    <w:rPr>
                      <w:rFonts w:hint="default"/>
                      <w:sz w:val="21"/>
                    </w:rPr>
                  </w:pPr>
                  <w:r>
                    <w:rPr>
                      <w:rFonts w:hint="eastAsia"/>
                      <w:sz w:val="21"/>
                    </w:rPr>
                    <w:t>环境影响途径及危害后果（大气、地表水、地下水等）</w:t>
                  </w:r>
                </w:p>
              </w:tc>
              <w:tc>
                <w:tcPr>
                  <w:tcW w:w="6349"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eastAsia" w:ascii="宋体" w:hAnsi="宋体" w:eastAsia="宋体"/>
                      <w:sz w:val="21"/>
                    </w:rPr>
                  </w:pPr>
                  <w:r>
                    <w:rPr>
                      <w:rFonts w:hint="eastAsia" w:ascii="宋体" w:hAnsi="宋体" w:eastAsia="宋体"/>
                      <w:sz w:val="21"/>
                    </w:rPr>
                    <w:t>泄漏的天然气遇明火、静电等会发生的火灾、爆炸事件，燃烧产生</w:t>
                  </w:r>
                </w:p>
                <w:p>
                  <w:pPr>
                    <w:topLinePunct/>
                    <w:jc w:val="center"/>
                    <w:rPr>
                      <w:rFonts w:hint="default"/>
                      <w:sz w:val="21"/>
                    </w:rPr>
                  </w:pPr>
                  <w:r>
                    <w:rPr>
                      <w:rFonts w:hint="eastAsia" w:ascii="宋体" w:hAnsi="宋体" w:eastAsia="宋体"/>
                      <w:sz w:val="21"/>
                    </w:rPr>
                    <w:t>的伴生</w:t>
                  </w:r>
                  <w:r>
                    <w:rPr>
                      <w:rFonts w:hint="eastAsia" w:ascii="TimesNewRomanPSMT" w:hAnsi="TimesNewRomanPSMT" w:eastAsia="TimesNewRomanPSMT"/>
                      <w:sz w:val="21"/>
                    </w:rPr>
                    <w:t>/</w:t>
                  </w:r>
                  <w:r>
                    <w:rPr>
                      <w:rFonts w:hint="eastAsia" w:ascii="宋体" w:hAnsi="宋体" w:eastAsia="宋体"/>
                      <w:sz w:val="21"/>
                    </w:rPr>
                    <w:t>次生污染物对人和环境均会产生不利影响。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风险防范措施</w:t>
                  </w:r>
                </w:p>
              </w:tc>
              <w:tc>
                <w:tcPr>
                  <w:tcW w:w="6349" w:type="dxa"/>
                  <w:gridSpan w:val="4"/>
                  <w:tcBorders>
                    <w:top w:val="single" w:color="auto" w:sz="4" w:space="0"/>
                    <w:left w:val="single" w:color="auto" w:sz="4" w:space="0"/>
                    <w:bottom w:val="single" w:color="auto" w:sz="4" w:space="0"/>
                    <w:right w:val="single" w:color="auto" w:sz="4" w:space="0"/>
                    <w:tl2br w:val="nil"/>
                    <w:tr2bl w:val="nil"/>
                  </w:tcBorders>
                  <w:vAlign w:val="center"/>
                </w:tcPr>
                <w:p>
                  <w:pPr>
                    <w:topLinePunct/>
                    <w:rPr>
                      <w:rFonts w:hint="default"/>
                      <w:sz w:val="21"/>
                    </w:rPr>
                  </w:pPr>
                  <w:r>
                    <w:rPr>
                      <w:rFonts w:hint="eastAsia"/>
                      <w:sz w:val="21"/>
                    </w:rPr>
                    <w:t>①选用符合技术标准的设备、设施，定期进行巡检和维护保养；</w:t>
                  </w:r>
                </w:p>
                <w:p>
                  <w:pPr>
                    <w:topLinePunct/>
                    <w:rPr>
                      <w:rFonts w:hint="default"/>
                      <w:sz w:val="21"/>
                    </w:rPr>
                  </w:pPr>
                  <w:r>
                    <w:rPr>
                      <w:rFonts w:hint="eastAsia"/>
                      <w:sz w:val="21"/>
                    </w:rPr>
                    <w:t>②设置燃气监测报警装置；</w:t>
                  </w:r>
                </w:p>
                <w:p>
                  <w:pPr>
                    <w:topLinePunct/>
                    <w:rPr>
                      <w:rFonts w:hint="default"/>
                      <w:sz w:val="21"/>
                    </w:rPr>
                  </w:pPr>
                  <w:r>
                    <w:rPr>
                      <w:rFonts w:hint="eastAsia"/>
                      <w:sz w:val="21"/>
                    </w:rPr>
                    <w:t>③加强工作人员安全培训，相关工作人员持证上岗；</w:t>
                  </w:r>
                </w:p>
                <w:p>
                  <w:pPr>
                    <w:topLinePunct/>
                    <w:rPr>
                      <w:rFonts w:hint="default"/>
                      <w:sz w:val="21"/>
                    </w:rPr>
                  </w:pPr>
                  <w:r>
                    <w:rPr>
                      <w:rFonts w:hint="eastAsia"/>
                      <w:sz w:val="21"/>
                    </w:rPr>
                    <w:t>④设置消防器材、防爆电气设备、事故池；</w:t>
                  </w:r>
                </w:p>
                <w:p>
                  <w:pPr>
                    <w:topLinePunct/>
                    <w:adjustRightInd w:val="0"/>
                    <w:rPr>
                      <w:rFonts w:hint="default"/>
                      <w:sz w:val="21"/>
                    </w:rPr>
                  </w:pPr>
                  <w:r>
                    <w:rPr>
                      <w:rFonts w:hint="eastAsia"/>
                      <w:sz w:val="21"/>
                    </w:rPr>
                    <w:t>⑤编制突发环境事件应急预案。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587" w:type="dxa"/>
                  <w:tcBorders>
                    <w:top w:val="single" w:color="auto" w:sz="4" w:space="0"/>
                    <w:left w:val="single" w:color="auto" w:sz="4" w:space="0"/>
                    <w:bottom w:val="single" w:color="auto" w:sz="4" w:space="0"/>
                    <w:right w:val="single" w:color="auto" w:sz="4" w:space="0"/>
                    <w:tl2br w:val="nil"/>
                    <w:tr2bl w:val="nil"/>
                  </w:tcBorders>
                  <w:vAlign w:val="center"/>
                </w:tcPr>
                <w:p>
                  <w:pPr>
                    <w:topLinePunct/>
                    <w:adjustRightInd w:val="0"/>
                    <w:jc w:val="center"/>
                    <w:rPr>
                      <w:rFonts w:hint="default"/>
                      <w:sz w:val="21"/>
                    </w:rPr>
                  </w:pPr>
                  <w:r>
                    <w:rPr>
                      <w:rFonts w:hint="eastAsia"/>
                      <w:sz w:val="21"/>
                    </w:rPr>
                    <w:t>填表说明</w:t>
                  </w:r>
                </w:p>
              </w:tc>
              <w:tc>
                <w:tcPr>
                  <w:tcW w:w="6349" w:type="dxa"/>
                  <w:gridSpan w:val="4"/>
                  <w:tcBorders>
                    <w:top w:val="single" w:color="auto" w:sz="4" w:space="0"/>
                    <w:left w:val="single" w:color="auto" w:sz="4" w:space="0"/>
                    <w:bottom w:val="single" w:color="auto" w:sz="4" w:space="0"/>
                    <w:right w:val="single" w:color="auto" w:sz="4" w:space="0"/>
                    <w:tl2br w:val="nil"/>
                    <w:tr2bl w:val="nil"/>
                  </w:tcBorders>
                  <w:vAlign w:val="center"/>
                </w:tcPr>
                <w:p>
                  <w:pPr>
                    <w:spacing w:beforeLines="0" w:afterLines="0"/>
                    <w:jc w:val="left"/>
                    <w:rPr>
                      <w:rFonts w:hint="default"/>
                      <w:sz w:val="21"/>
                    </w:rPr>
                  </w:pPr>
                  <w:r>
                    <w:rPr>
                      <w:rFonts w:hint="eastAsia" w:ascii="宋体" w:hAnsi="宋体" w:eastAsia="宋体"/>
                      <w:sz w:val="21"/>
                    </w:rPr>
                    <w:t>本项目天然气最大在线量为</w:t>
                  </w:r>
                  <w:r>
                    <w:rPr>
                      <w:rFonts w:hint="eastAsia" w:ascii="TimesNewRomanPSMT" w:hAnsi="TimesNewRomanPSMT" w:eastAsia="TimesNewRomanPSMT"/>
                      <w:sz w:val="21"/>
                    </w:rPr>
                    <w:t>0.000</w:t>
                  </w:r>
                  <w:r>
                    <w:rPr>
                      <w:rFonts w:hint="eastAsia" w:ascii="TimesNewRomanPSMT" w:hAnsi="TimesNewRomanPSMT"/>
                      <w:sz w:val="21"/>
                      <w:lang w:val="en-US" w:eastAsia="zh-CN"/>
                    </w:rPr>
                    <w:t>95</w:t>
                  </w:r>
                  <w:r>
                    <w:rPr>
                      <w:rFonts w:hint="eastAsia" w:ascii="TimesNewRomanPSMT" w:hAnsi="TimesNewRomanPSMT" w:eastAsia="TimesNewRomanPSMT"/>
                      <w:sz w:val="21"/>
                    </w:rPr>
                    <w:t>t</w:t>
                  </w:r>
                  <w:r>
                    <w:rPr>
                      <w:rFonts w:hint="eastAsia" w:ascii="宋体" w:hAnsi="宋体" w:eastAsia="宋体"/>
                      <w:sz w:val="21"/>
                    </w:rPr>
                    <w:t>，根据项目环境风险潜势初判结果，本项目环境风险潜势为</w:t>
                  </w:r>
                  <w:r>
                    <w:rPr>
                      <w:rFonts w:hint="eastAsia" w:ascii="TimesNewRomanPSMT" w:hAnsi="TimesNewRomanPSMT" w:eastAsia="TimesNewRomanPSMT"/>
                      <w:sz w:val="21"/>
                    </w:rPr>
                    <w:t>I</w:t>
                  </w:r>
                  <w:r>
                    <w:rPr>
                      <w:rFonts w:hint="eastAsia" w:ascii="宋体" w:hAnsi="宋体" w:eastAsia="宋体"/>
                      <w:sz w:val="21"/>
                    </w:rPr>
                    <w:t>，评价工作可进行简单分析</w:t>
                  </w:r>
                </w:p>
              </w:tc>
            </w:tr>
          </w:tbl>
          <w:p>
            <w:pPr>
              <w:spacing w:line="360" w:lineRule="auto"/>
              <w:ind w:firstLine="480" w:firstLineChars="200"/>
              <w:rPr>
                <w:rFonts w:hint="eastAsia"/>
                <w:sz w:val="24"/>
              </w:rPr>
            </w:pPr>
            <w:r>
              <w:rPr>
                <w:rFonts w:hint="eastAsia"/>
                <w:sz w:val="24"/>
              </w:rPr>
              <w:t>本项目涉及的风险物质主要为天然气。项目风险物质危险性主要表现在火灾、爆炸、局部浓度过高窒息等突发性事故，其次生污染影响较小，建议企业结合本项目特点，制定应急预案及区域风险防范应急救援支援措施。在认真落实相关风险管理措施的情况下，本项目环境风险可防控。</w:t>
            </w:r>
          </w:p>
          <w:p>
            <w:pPr>
              <w:adjustRightInd w:val="0"/>
              <w:snapToGrid w:val="0"/>
              <w:spacing w:line="360" w:lineRule="auto"/>
              <w:ind w:firstLine="482" w:firstLineChars="200"/>
              <w:jc w:val="left"/>
              <w:rPr>
                <w:rFonts w:hint="eastAsia" w:ascii="Times New Roman" w:hAnsi="Times New Roman" w:cs="Times New Roman"/>
                <w:b/>
                <w:snapToGrid w:val="0"/>
                <w:kern w:val="0"/>
                <w:sz w:val="24"/>
                <w:u w:val="single"/>
                <w:lang w:val="en-US" w:eastAsia="zh-CN"/>
              </w:rPr>
            </w:pPr>
            <w:r>
              <w:rPr>
                <w:rFonts w:hint="eastAsia" w:ascii="Times New Roman" w:hAnsi="Times New Roman" w:cs="Times New Roman"/>
                <w:b/>
                <w:snapToGrid w:val="0"/>
                <w:kern w:val="0"/>
                <w:sz w:val="24"/>
                <w:u w:val="single"/>
                <w:lang w:val="en-US" w:eastAsia="zh-CN"/>
              </w:rPr>
              <w:t>7.8项目存在的其他环境风险分析</w:t>
            </w:r>
          </w:p>
          <w:p>
            <w:pPr>
              <w:spacing w:line="360" w:lineRule="auto"/>
              <w:ind w:firstLine="482" w:firstLineChars="200"/>
              <w:rPr>
                <w:rFonts w:hint="eastAsia"/>
                <w:sz w:val="24"/>
              </w:rPr>
            </w:pPr>
            <w:r>
              <w:rPr>
                <w:rFonts w:hint="eastAsia" w:ascii="Times New Roman" w:hAnsi="Times New Roman" w:cs="Times New Roman"/>
                <w:b/>
                <w:bCs/>
                <w:sz w:val="24"/>
                <w:u w:val="single"/>
                <w:lang w:val="en-US" w:eastAsia="zh-CN"/>
              </w:rPr>
              <w:t>本项目涉及的风险物质主要为天然气，经分析，在</w:t>
            </w:r>
            <w:r>
              <w:rPr>
                <w:rFonts w:hint="eastAsia"/>
                <w:b/>
                <w:bCs/>
                <w:sz w:val="24"/>
                <w:u w:val="single"/>
              </w:rPr>
              <w:t>认真落实相关风险管理措施的情况下，本项目环境风险可防控。</w:t>
            </w:r>
          </w:p>
          <w:p>
            <w:pPr>
              <w:spacing w:line="360" w:lineRule="auto"/>
              <w:ind w:firstLine="482" w:firstLineChars="200"/>
              <w:rPr>
                <w:rFonts w:hint="eastAsia" w:ascii="Times New Roman" w:hAnsi="Times New Roman" w:cs="Times New Roman"/>
                <w:b/>
                <w:bCs/>
                <w:sz w:val="24"/>
                <w:u w:val="single"/>
                <w:lang w:val="en-US" w:eastAsia="zh-CN"/>
              </w:rPr>
            </w:pPr>
            <w:r>
              <w:rPr>
                <w:rFonts w:hint="eastAsia" w:ascii="Times New Roman" w:hAnsi="Times New Roman" w:cs="Times New Roman"/>
                <w:b/>
                <w:bCs/>
                <w:sz w:val="24"/>
                <w:u w:val="single"/>
                <w:lang w:val="en-US" w:eastAsia="zh-CN"/>
              </w:rPr>
              <w:t>除此之外，</w:t>
            </w:r>
            <w:r>
              <w:rPr>
                <w:rFonts w:hint="eastAsia" w:ascii="Times New Roman" w:hAnsi="Times New Roman" w:cs="Times New Roman"/>
                <w:b/>
                <w:bCs/>
                <w:sz w:val="24"/>
                <w:u w:val="single"/>
                <w:lang w:eastAsia="zh-CN"/>
              </w:rPr>
              <w:t>本项目</w:t>
            </w:r>
            <w:r>
              <w:rPr>
                <w:rFonts w:hint="eastAsia" w:ascii="Times New Roman" w:hAnsi="Times New Roman" w:cs="Times New Roman"/>
                <w:b/>
                <w:bCs/>
                <w:sz w:val="24"/>
                <w:u w:val="single"/>
                <w:lang w:val="en-US" w:eastAsia="zh-CN"/>
              </w:rPr>
              <w:t>存在的其他</w:t>
            </w:r>
            <w:r>
              <w:rPr>
                <w:rFonts w:hint="eastAsia" w:ascii="Times New Roman" w:hAnsi="Times New Roman" w:cs="Times New Roman"/>
                <w:b/>
                <w:bCs/>
                <w:sz w:val="24"/>
                <w:u w:val="single"/>
                <w:lang w:eastAsia="zh-CN"/>
              </w:rPr>
              <w:t>环境风险主要有</w:t>
            </w:r>
            <w:r>
              <w:rPr>
                <w:rFonts w:hint="eastAsia" w:ascii="Times New Roman" w:hAnsi="Times New Roman" w:cs="Times New Roman"/>
                <w:b/>
                <w:bCs/>
                <w:sz w:val="24"/>
                <w:u w:val="single"/>
                <w:lang w:val="en-US" w:eastAsia="zh-CN"/>
              </w:rPr>
              <w:t>项目产生的生产废水、初期雨水如果处理不当，可能会随着地势流入大浪河，对大浪河造成影响。</w:t>
            </w:r>
          </w:p>
          <w:p>
            <w:pPr>
              <w:spacing w:line="360" w:lineRule="auto"/>
              <w:ind w:firstLine="482" w:firstLineChars="200"/>
              <w:rPr>
                <w:rFonts w:hint="eastAsia" w:ascii="Times New Roman" w:hAnsi="Times New Roman" w:cs="Times New Roman"/>
                <w:b/>
                <w:bCs/>
                <w:sz w:val="24"/>
                <w:u w:val="single"/>
                <w:lang w:val="en-US" w:eastAsia="zh-CN"/>
              </w:rPr>
            </w:pPr>
            <w:r>
              <w:rPr>
                <w:rFonts w:hint="eastAsia" w:ascii="Times New Roman" w:hAnsi="Times New Roman" w:cs="Times New Roman"/>
                <w:b/>
                <w:bCs/>
                <w:sz w:val="24"/>
                <w:u w:val="single"/>
                <w:lang w:val="en-US" w:eastAsia="zh-CN"/>
              </w:rPr>
              <w:t>本项目产生的生产废水经浓缩、压滤处理后，在储水池储存，循环使用不外排；车辆冲洗废水设沉淀池沉淀后，</w:t>
            </w:r>
            <w:bookmarkStart w:id="15" w:name="_GoBack"/>
            <w:bookmarkEnd w:id="15"/>
            <w:r>
              <w:rPr>
                <w:rFonts w:hint="eastAsia" w:ascii="Times New Roman" w:hAnsi="Times New Roman" w:cs="Times New Roman"/>
                <w:b/>
                <w:bCs/>
                <w:sz w:val="24"/>
                <w:u w:val="single"/>
                <w:lang w:val="en-US" w:eastAsia="zh-CN"/>
              </w:rPr>
              <w:t>循环使用不外排；初期雨水含有颗粒物，在厂区内设置初期雨水收集池，收集沉淀后，用于厂区绿化、洒水抑尘。项目应严格按照上述措施对产生的废水进行处理，项目废水零排放，不会对地表水体大浪河产生影响。</w:t>
            </w:r>
          </w:p>
          <w:p>
            <w:pPr>
              <w:spacing w:line="360" w:lineRule="auto"/>
              <w:ind w:firstLine="482" w:firstLineChars="200"/>
              <w:rPr>
                <w:rFonts w:hint="eastAsia"/>
                <w:b/>
                <w:bCs/>
                <w:sz w:val="24"/>
                <w:u w:val="single"/>
                <w:lang w:val="en-US" w:eastAsia="zh-CN"/>
              </w:rPr>
            </w:pPr>
            <w:r>
              <w:rPr>
                <w:rFonts w:hint="eastAsia"/>
                <w:b/>
                <w:bCs/>
                <w:sz w:val="24"/>
                <w:u w:val="single"/>
                <w:lang w:val="en-US" w:eastAsia="zh-CN"/>
              </w:rPr>
              <w:t>8 项目选址可行性分析</w:t>
            </w:r>
          </w:p>
          <w:p>
            <w:pPr>
              <w:spacing w:line="360" w:lineRule="auto"/>
              <w:ind w:firstLine="482" w:firstLineChars="200"/>
              <w:rPr>
                <w:rFonts w:hint="eastAsia"/>
                <w:b/>
                <w:bCs/>
                <w:sz w:val="24"/>
                <w:u w:val="single"/>
                <w:lang w:eastAsia="zh-CN"/>
              </w:rPr>
            </w:pPr>
            <w:r>
              <w:rPr>
                <w:rFonts w:hint="eastAsia"/>
                <w:b/>
                <w:bCs/>
                <w:sz w:val="24"/>
                <w:u w:val="single"/>
                <w:lang w:eastAsia="zh-CN"/>
              </w:rPr>
              <w:t>（</w:t>
            </w:r>
            <w:r>
              <w:rPr>
                <w:rFonts w:hint="eastAsia"/>
                <w:b/>
                <w:bCs/>
                <w:sz w:val="24"/>
                <w:u w:val="single"/>
                <w:lang w:val="en-US" w:eastAsia="zh-CN"/>
              </w:rPr>
              <w:t>1</w:t>
            </w:r>
            <w:r>
              <w:rPr>
                <w:rFonts w:hint="eastAsia"/>
                <w:b/>
                <w:bCs/>
                <w:sz w:val="24"/>
                <w:u w:val="single"/>
                <w:lang w:eastAsia="zh-CN"/>
              </w:rPr>
              <w:t>）本项目位于平顶山市鲁山县产业集聚区</w:t>
            </w:r>
            <w:r>
              <w:rPr>
                <w:rFonts w:hint="eastAsia"/>
                <w:b/>
                <w:bCs/>
                <w:sz w:val="24"/>
                <w:u w:val="single"/>
                <w:lang w:val="en-US" w:eastAsia="zh-CN"/>
              </w:rPr>
              <w:t>北区</w:t>
            </w:r>
            <w:r>
              <w:rPr>
                <w:rFonts w:hint="eastAsia"/>
                <w:b/>
                <w:bCs/>
                <w:sz w:val="24"/>
                <w:u w:val="single"/>
                <w:lang w:eastAsia="zh-CN"/>
              </w:rPr>
              <w:t>，租用平顶山市银地源实业有限公司和平顶山市唐保耐火材料有限公司部分用地进行建设，</w:t>
            </w:r>
            <w:r>
              <w:rPr>
                <w:rFonts w:hint="eastAsia"/>
                <w:b/>
                <w:bCs/>
                <w:sz w:val="24"/>
                <w:u w:val="single"/>
                <w:lang w:val="en-US" w:eastAsia="zh-CN"/>
              </w:rPr>
              <w:t>根据</w:t>
            </w:r>
            <w:r>
              <w:rPr>
                <w:rFonts w:hint="eastAsia"/>
                <w:b/>
                <w:bCs/>
                <w:sz w:val="24"/>
                <w:u w:val="single"/>
                <w:lang w:eastAsia="zh-CN"/>
              </w:rPr>
              <w:t>鲁山县产业集聚区用地性质规划图，</w:t>
            </w:r>
            <w:r>
              <w:rPr>
                <w:rFonts w:hint="eastAsia"/>
                <w:b/>
                <w:bCs/>
                <w:sz w:val="24"/>
                <w:u w:val="single"/>
                <w:lang w:val="en-US" w:eastAsia="zh-CN"/>
              </w:rPr>
              <w:t>项目占地类型为三类工业用地。</w:t>
            </w:r>
          </w:p>
          <w:p>
            <w:pPr>
              <w:spacing w:line="360" w:lineRule="auto"/>
              <w:ind w:firstLine="482" w:firstLineChars="200"/>
              <w:rPr>
                <w:rFonts w:hint="eastAsia"/>
                <w:b/>
                <w:bCs/>
                <w:sz w:val="24"/>
                <w:u w:val="single"/>
                <w:lang w:val="en-US" w:eastAsia="zh-CN"/>
              </w:rPr>
            </w:pPr>
            <w:r>
              <w:rPr>
                <w:rFonts w:hint="eastAsia"/>
                <w:b/>
                <w:bCs/>
                <w:sz w:val="24"/>
                <w:u w:val="single"/>
                <w:lang w:val="en-US" w:eastAsia="zh-CN"/>
              </w:rPr>
              <w:t>（2）本项目为其他非金属矿物制品制造，属于非金属矿物制品业，符合鲁山县产业集聚区环境准入条件，项目建设与《鲁山县产业集聚区规划（2014～2020）》相符。</w:t>
            </w:r>
          </w:p>
          <w:p>
            <w:pPr>
              <w:spacing w:line="360" w:lineRule="auto"/>
              <w:ind w:firstLine="482" w:firstLineChars="200"/>
              <w:rPr>
                <w:rFonts w:hint="eastAsia"/>
                <w:b/>
                <w:bCs w:val="0"/>
                <w:sz w:val="24"/>
                <w:u w:val="single"/>
              </w:rPr>
            </w:pPr>
            <w:r>
              <w:rPr>
                <w:rFonts w:hint="eastAsia"/>
                <w:b/>
                <w:bCs w:val="0"/>
                <w:sz w:val="24"/>
                <w:u w:val="single"/>
                <w:lang w:eastAsia="zh-CN"/>
              </w:rPr>
              <w:t>（</w:t>
            </w:r>
            <w:r>
              <w:rPr>
                <w:rFonts w:hint="eastAsia"/>
                <w:b/>
                <w:bCs w:val="0"/>
                <w:sz w:val="24"/>
                <w:u w:val="single"/>
                <w:lang w:val="en-US" w:eastAsia="zh-CN"/>
              </w:rPr>
              <w:t>3</w:t>
            </w:r>
            <w:r>
              <w:rPr>
                <w:rFonts w:hint="eastAsia"/>
                <w:b/>
                <w:bCs w:val="0"/>
                <w:sz w:val="24"/>
                <w:u w:val="single"/>
                <w:lang w:eastAsia="zh-CN"/>
              </w:rPr>
              <w:t>）</w:t>
            </w:r>
            <w:r>
              <w:rPr>
                <w:rFonts w:hint="eastAsia"/>
                <w:b/>
                <w:bCs w:val="0"/>
                <w:sz w:val="24"/>
                <w:u w:val="single"/>
              </w:rPr>
              <w:t>根据对项目运营期间污染物排放的预测，该项目运营期间噪声和废气、废水都能达到环境标准，所以对周围环境影响较小。</w:t>
            </w:r>
          </w:p>
          <w:p>
            <w:pPr>
              <w:spacing w:line="360" w:lineRule="auto"/>
              <w:ind w:firstLine="482" w:firstLineChars="200"/>
              <w:rPr>
                <w:rFonts w:hint="eastAsia"/>
                <w:b/>
                <w:bCs w:val="0"/>
                <w:sz w:val="24"/>
                <w:u w:val="single"/>
              </w:rPr>
            </w:pPr>
            <w:r>
              <w:rPr>
                <w:rFonts w:hint="eastAsia"/>
                <w:b/>
                <w:bCs w:val="0"/>
                <w:sz w:val="24"/>
                <w:u w:val="single"/>
                <w:lang w:eastAsia="zh-CN"/>
              </w:rPr>
              <w:t>（</w:t>
            </w:r>
            <w:r>
              <w:rPr>
                <w:rFonts w:hint="eastAsia"/>
                <w:b/>
                <w:bCs w:val="0"/>
                <w:sz w:val="24"/>
                <w:u w:val="single"/>
                <w:lang w:val="en-US" w:eastAsia="zh-CN"/>
              </w:rPr>
              <w:t>4</w:t>
            </w:r>
            <w:r>
              <w:rPr>
                <w:rFonts w:hint="eastAsia"/>
                <w:b/>
                <w:bCs w:val="0"/>
                <w:sz w:val="24"/>
                <w:u w:val="single"/>
                <w:lang w:eastAsia="zh-CN"/>
              </w:rPr>
              <w:t>）</w:t>
            </w:r>
            <w:r>
              <w:rPr>
                <w:rFonts w:hint="eastAsia"/>
                <w:b/>
                <w:bCs w:val="0"/>
                <w:sz w:val="24"/>
                <w:u w:val="single"/>
              </w:rPr>
              <w:t>项目运营过程中产生的各项污染物均能够得到合理地处理和处置，对环境不会产生大的影响。</w:t>
            </w:r>
          </w:p>
          <w:p>
            <w:pPr>
              <w:spacing w:line="360" w:lineRule="auto"/>
              <w:ind w:firstLine="482" w:firstLineChars="200"/>
              <w:rPr>
                <w:rFonts w:hint="eastAsia"/>
                <w:b/>
                <w:bCs w:val="0"/>
                <w:sz w:val="24"/>
                <w:u w:val="single"/>
              </w:rPr>
            </w:pPr>
            <w:r>
              <w:rPr>
                <w:rFonts w:hint="eastAsia"/>
                <w:b/>
                <w:bCs w:val="0"/>
                <w:sz w:val="24"/>
                <w:u w:val="single"/>
              </w:rPr>
              <w:t>综上，本项目选址可行。</w:t>
            </w:r>
          </w:p>
          <w:p>
            <w:pPr>
              <w:adjustRightInd w:val="0"/>
              <w:snapToGrid w:val="0"/>
              <w:spacing w:line="360" w:lineRule="auto"/>
              <w:ind w:firstLine="482" w:firstLineChars="200"/>
              <w:jc w:val="left"/>
              <w:rPr>
                <w:b/>
                <w:snapToGrid w:val="0"/>
                <w:kern w:val="0"/>
                <w:sz w:val="24"/>
              </w:rPr>
            </w:pPr>
            <w:r>
              <w:rPr>
                <w:rFonts w:hint="eastAsia"/>
                <w:b/>
                <w:snapToGrid w:val="0"/>
                <w:kern w:val="0"/>
                <w:sz w:val="24"/>
                <w:lang w:val="en-US" w:eastAsia="zh-CN"/>
              </w:rPr>
              <w:t>9</w:t>
            </w:r>
            <w:r>
              <w:rPr>
                <w:rFonts w:hint="eastAsia"/>
                <w:b/>
                <w:snapToGrid w:val="0"/>
                <w:kern w:val="0"/>
                <w:sz w:val="24"/>
              </w:rPr>
              <w:t xml:space="preserve"> 环保投资估算</w:t>
            </w:r>
          </w:p>
          <w:p>
            <w:pPr>
              <w:autoSpaceDE w:val="0"/>
              <w:autoSpaceDN w:val="0"/>
              <w:adjustRightInd w:val="0"/>
              <w:snapToGrid w:val="0"/>
              <w:spacing w:line="360" w:lineRule="auto"/>
              <w:ind w:firstLine="480" w:firstLineChars="200"/>
              <w:rPr>
                <w:sz w:val="24"/>
              </w:rPr>
            </w:pPr>
            <w:r>
              <w:rPr>
                <w:rFonts w:hint="eastAsia"/>
                <w:sz w:val="24"/>
              </w:rPr>
              <w:t>本项目总投资28000万元，其中环保投资</w:t>
            </w:r>
            <w:r>
              <w:rPr>
                <w:rFonts w:hint="eastAsia"/>
                <w:sz w:val="24"/>
                <w:lang w:val="en-US" w:eastAsia="zh-CN"/>
              </w:rPr>
              <w:t>162.5</w:t>
            </w:r>
            <w:r>
              <w:rPr>
                <w:rFonts w:hint="eastAsia"/>
                <w:sz w:val="24"/>
              </w:rPr>
              <w:t>万元，占总投资额的</w:t>
            </w:r>
            <w:r>
              <w:rPr>
                <w:rFonts w:hint="eastAsia"/>
                <w:sz w:val="24"/>
                <w:lang w:val="en-US" w:eastAsia="zh-CN"/>
              </w:rPr>
              <w:t>0.58</w:t>
            </w:r>
            <w:r>
              <w:rPr>
                <w:rFonts w:hint="eastAsia"/>
                <w:sz w:val="24"/>
              </w:rPr>
              <w:t>%。本项目环保投资见下表。</w:t>
            </w:r>
          </w:p>
          <w:p>
            <w:pPr>
              <w:pStyle w:val="44"/>
              <w:spacing w:line="360" w:lineRule="auto"/>
              <w:rPr>
                <w:rFonts w:eastAsia="宋体"/>
                <w:sz w:val="24"/>
                <w:szCs w:val="24"/>
              </w:rPr>
            </w:pPr>
            <w:r>
              <w:rPr>
                <w:rFonts w:hint="eastAsia" w:eastAsia="宋体"/>
                <w:sz w:val="24"/>
                <w:szCs w:val="24"/>
              </w:rPr>
              <w:t>表4-2</w:t>
            </w:r>
            <w:r>
              <w:rPr>
                <w:rFonts w:hint="eastAsia" w:eastAsia="宋体"/>
                <w:sz w:val="24"/>
                <w:szCs w:val="24"/>
                <w:lang w:val="en-US" w:eastAsia="zh-CN"/>
              </w:rPr>
              <w:t>8</w:t>
            </w:r>
            <w:r>
              <w:rPr>
                <w:rFonts w:hint="eastAsia" w:eastAsia="宋体"/>
                <w:sz w:val="24"/>
                <w:szCs w:val="24"/>
              </w:rPr>
              <w:t xml:space="preserve">    本项目环保投资一览表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656"/>
              <w:gridCol w:w="1060"/>
              <w:gridCol w:w="2620"/>
              <w:gridCol w:w="1744"/>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Align w:val="center"/>
                </w:tcPr>
                <w:p>
                  <w:pPr>
                    <w:spacing w:line="260" w:lineRule="exact"/>
                    <w:contextualSpacing/>
                    <w:jc w:val="center"/>
                    <w:rPr>
                      <w:b/>
                      <w:bCs/>
                      <w:color w:val="000000"/>
                      <w:szCs w:val="21"/>
                    </w:rPr>
                  </w:pPr>
                  <w:r>
                    <w:rPr>
                      <w:b/>
                      <w:bCs/>
                      <w:color w:val="000000"/>
                      <w:szCs w:val="21"/>
                    </w:rPr>
                    <w:t>序号</w:t>
                  </w:r>
                </w:p>
              </w:tc>
              <w:tc>
                <w:tcPr>
                  <w:tcW w:w="1716" w:type="dxa"/>
                  <w:gridSpan w:val="2"/>
                  <w:vAlign w:val="center"/>
                </w:tcPr>
                <w:p>
                  <w:pPr>
                    <w:spacing w:line="260" w:lineRule="exact"/>
                    <w:contextualSpacing/>
                    <w:jc w:val="center"/>
                    <w:rPr>
                      <w:b/>
                      <w:bCs/>
                      <w:color w:val="000000"/>
                      <w:szCs w:val="21"/>
                    </w:rPr>
                  </w:pPr>
                  <w:r>
                    <w:rPr>
                      <w:rFonts w:hint="eastAsia"/>
                      <w:b/>
                      <w:bCs/>
                      <w:color w:val="000000"/>
                      <w:szCs w:val="21"/>
                    </w:rPr>
                    <w:t>污染源</w:t>
                  </w:r>
                </w:p>
              </w:tc>
              <w:tc>
                <w:tcPr>
                  <w:tcW w:w="4364" w:type="dxa"/>
                  <w:gridSpan w:val="2"/>
                  <w:vAlign w:val="center"/>
                </w:tcPr>
                <w:p>
                  <w:pPr>
                    <w:spacing w:line="260" w:lineRule="exact"/>
                    <w:contextualSpacing/>
                    <w:jc w:val="center"/>
                    <w:rPr>
                      <w:b/>
                      <w:bCs/>
                      <w:color w:val="000000"/>
                      <w:szCs w:val="21"/>
                    </w:rPr>
                  </w:pPr>
                  <w:r>
                    <w:rPr>
                      <w:b/>
                      <w:bCs/>
                      <w:color w:val="000000"/>
                      <w:szCs w:val="21"/>
                    </w:rPr>
                    <w:t>防治措施</w:t>
                  </w:r>
                </w:p>
              </w:tc>
              <w:tc>
                <w:tcPr>
                  <w:tcW w:w="1165" w:type="dxa"/>
                  <w:vAlign w:val="center"/>
                </w:tcPr>
                <w:p>
                  <w:pPr>
                    <w:spacing w:line="260" w:lineRule="exact"/>
                    <w:contextualSpacing/>
                    <w:jc w:val="center"/>
                    <w:rPr>
                      <w:b/>
                      <w:bCs/>
                      <w:color w:val="000000"/>
                      <w:szCs w:val="21"/>
                    </w:rPr>
                  </w:pPr>
                  <w:r>
                    <w:rPr>
                      <w:b/>
                      <w:bCs/>
                      <w:color w:val="000000"/>
                      <w:szCs w:val="21"/>
                    </w:rPr>
                    <w:t>投资估算</w:t>
                  </w:r>
                  <w:r>
                    <w:rPr>
                      <w:rFonts w:hint="eastAsia"/>
                      <w:b/>
                      <w:bCs/>
                      <w:color w:val="000000"/>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restart"/>
                  <w:vAlign w:val="center"/>
                </w:tcPr>
                <w:p>
                  <w:pPr>
                    <w:spacing w:line="260" w:lineRule="exact"/>
                    <w:contextualSpacing/>
                    <w:jc w:val="center"/>
                    <w:rPr>
                      <w:color w:val="000000"/>
                      <w:szCs w:val="21"/>
                    </w:rPr>
                  </w:pPr>
                  <w:r>
                    <w:rPr>
                      <w:rFonts w:hint="eastAsia"/>
                      <w:color w:val="000000"/>
                      <w:szCs w:val="21"/>
                    </w:rPr>
                    <w:t>1</w:t>
                  </w:r>
                </w:p>
              </w:tc>
              <w:tc>
                <w:tcPr>
                  <w:tcW w:w="656" w:type="dxa"/>
                  <w:vMerge w:val="restart"/>
                  <w:vAlign w:val="center"/>
                </w:tcPr>
                <w:p>
                  <w:pPr>
                    <w:spacing w:line="260" w:lineRule="exact"/>
                    <w:contextualSpacing/>
                    <w:jc w:val="center"/>
                    <w:rPr>
                      <w:color w:val="000000"/>
                      <w:szCs w:val="21"/>
                    </w:rPr>
                  </w:pPr>
                  <w:r>
                    <w:rPr>
                      <w:rFonts w:hint="eastAsia"/>
                      <w:color w:val="000000"/>
                      <w:szCs w:val="21"/>
                    </w:rPr>
                    <w:t>废气</w:t>
                  </w:r>
                </w:p>
              </w:tc>
              <w:tc>
                <w:tcPr>
                  <w:tcW w:w="1060" w:type="dxa"/>
                  <w:vAlign w:val="center"/>
                </w:tcPr>
                <w:p>
                  <w:pPr>
                    <w:spacing w:line="260" w:lineRule="exact"/>
                    <w:contextualSpacing/>
                    <w:jc w:val="center"/>
                    <w:rPr>
                      <w:color w:val="000000"/>
                      <w:szCs w:val="21"/>
                    </w:rPr>
                  </w:pPr>
                  <w:r>
                    <w:rPr>
                      <w:rFonts w:hint="eastAsia"/>
                      <w:color w:val="000000"/>
                      <w:szCs w:val="21"/>
                    </w:rPr>
                    <w:t>原料库</w:t>
                  </w:r>
                </w:p>
              </w:tc>
              <w:tc>
                <w:tcPr>
                  <w:tcW w:w="4364" w:type="dxa"/>
                  <w:gridSpan w:val="2"/>
                  <w:vAlign w:val="center"/>
                </w:tcPr>
                <w:p>
                  <w:pPr>
                    <w:spacing w:line="260" w:lineRule="exact"/>
                    <w:contextualSpacing/>
                    <w:jc w:val="center"/>
                    <w:rPr>
                      <w:color w:val="000000"/>
                      <w:szCs w:val="21"/>
                    </w:rPr>
                  </w:pPr>
                  <w:r>
                    <w:rPr>
                      <w:rFonts w:hint="eastAsia"/>
                      <w:color w:val="000000"/>
                      <w:szCs w:val="21"/>
                    </w:rPr>
                    <w:t>全密封原料库，上方设置喷干雾抑尘装置覆盖全部堆场，装卸作业在封闭原料库内进行；料库四面密闭，通道口安装卷帘门</w:t>
                  </w:r>
                  <w:r>
                    <w:rPr>
                      <w:rFonts w:hint="eastAsia"/>
                      <w:b w:val="0"/>
                      <w:bCs w:val="0"/>
                      <w:color w:val="000000"/>
                      <w:szCs w:val="21"/>
                      <w:u w:val="none"/>
                    </w:rPr>
                    <w:t>；</w:t>
                  </w:r>
                  <w:r>
                    <w:rPr>
                      <w:rFonts w:hint="eastAsia"/>
                      <w:b/>
                      <w:bCs/>
                      <w:color w:val="000000"/>
                      <w:szCs w:val="21"/>
                      <w:u w:val="single"/>
                    </w:rPr>
                    <w:t>所有地面均硬化。</w:t>
                  </w:r>
                </w:p>
              </w:tc>
              <w:tc>
                <w:tcPr>
                  <w:tcW w:w="1165" w:type="dxa"/>
                  <w:vAlign w:val="center"/>
                </w:tcPr>
                <w:p>
                  <w:pPr>
                    <w:spacing w:line="260" w:lineRule="exact"/>
                    <w:contextualSpacing/>
                    <w:jc w:val="center"/>
                    <w:rPr>
                      <w:color w:val="000000"/>
                      <w:szCs w:val="21"/>
                    </w:rPr>
                  </w:pPr>
                  <w:r>
                    <w:rPr>
                      <w:rFonts w:hint="eastAsia"/>
                      <w:color w:val="000000"/>
                      <w:szCs w:val="21"/>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autoSpaceDE w:val="0"/>
                    <w:autoSpaceDN w:val="0"/>
                    <w:spacing w:line="260" w:lineRule="exact"/>
                    <w:jc w:val="center"/>
                    <w:rPr>
                      <w:color w:val="000000"/>
                      <w:szCs w:val="21"/>
                    </w:rPr>
                  </w:pPr>
                  <w:r>
                    <w:rPr>
                      <w:rFonts w:hint="eastAsia"/>
                      <w:color w:val="000000"/>
                      <w:szCs w:val="21"/>
                    </w:rPr>
                    <w:t>上料仓</w:t>
                  </w:r>
                </w:p>
              </w:tc>
              <w:tc>
                <w:tcPr>
                  <w:tcW w:w="2620" w:type="dxa"/>
                  <w:vAlign w:val="center"/>
                </w:tcPr>
                <w:p>
                  <w:pPr>
                    <w:spacing w:line="260" w:lineRule="exact"/>
                    <w:jc w:val="center"/>
                    <w:rPr>
                      <w:color w:val="000000"/>
                      <w:szCs w:val="21"/>
                    </w:rPr>
                  </w:pPr>
                  <w:r>
                    <w:rPr>
                      <w:rFonts w:hint="eastAsia"/>
                      <w:color w:val="000000"/>
                      <w:szCs w:val="21"/>
                    </w:rPr>
                    <w:t>集气罩+1</w:t>
                  </w:r>
                  <w:r>
                    <w:rPr>
                      <w:rFonts w:hint="eastAsia"/>
                      <w:color w:val="000000"/>
                      <w:szCs w:val="21"/>
                      <w:lang w:val="en-US" w:eastAsia="zh-CN"/>
                    </w:rPr>
                    <w:t>套</w:t>
                  </w:r>
                  <w:r>
                    <w:rPr>
                      <w:rFonts w:hint="eastAsia"/>
                      <w:color w:val="000000"/>
                      <w:szCs w:val="21"/>
                    </w:rPr>
                    <w:t>袋式除尘器（1#）</w:t>
                  </w:r>
                </w:p>
              </w:tc>
              <w:tc>
                <w:tcPr>
                  <w:tcW w:w="1744" w:type="dxa"/>
                  <w:vMerge w:val="restart"/>
                  <w:vAlign w:val="center"/>
                </w:tcPr>
                <w:p>
                  <w:pPr>
                    <w:spacing w:line="260" w:lineRule="exact"/>
                    <w:jc w:val="center"/>
                    <w:rPr>
                      <w:rFonts w:hint="eastAsia" w:eastAsia="宋体"/>
                      <w:color w:val="000000"/>
                      <w:szCs w:val="21"/>
                      <w:lang w:val="en-US" w:eastAsia="zh-CN"/>
                    </w:rPr>
                  </w:pPr>
                  <w:r>
                    <w:rPr>
                      <w:color w:val="000000"/>
                      <w:szCs w:val="21"/>
                    </w:rPr>
                    <w:t>1</w:t>
                  </w:r>
                  <w:r>
                    <w:rPr>
                      <w:rFonts w:hint="eastAsia"/>
                      <w:color w:val="000000"/>
                      <w:szCs w:val="21"/>
                    </w:rPr>
                    <w:t>根</w:t>
                  </w:r>
                  <w:r>
                    <w:rPr>
                      <w:color w:val="000000"/>
                      <w:szCs w:val="21"/>
                    </w:rPr>
                    <w:t>15m</w:t>
                  </w:r>
                  <w:r>
                    <w:rPr>
                      <w:rFonts w:hint="eastAsia"/>
                      <w:color w:val="000000"/>
                      <w:szCs w:val="21"/>
                    </w:rPr>
                    <w:t>高排气筒（DA001）</w:t>
                  </w:r>
                  <w:r>
                    <w:rPr>
                      <w:rFonts w:hint="eastAsia"/>
                      <w:color w:val="000000"/>
                      <w:szCs w:val="21"/>
                      <w:lang w:val="en-US" w:eastAsia="zh-CN"/>
                    </w:rPr>
                    <w:t>排放</w:t>
                  </w:r>
                </w:p>
              </w:tc>
              <w:tc>
                <w:tcPr>
                  <w:tcW w:w="1165" w:type="dxa"/>
                  <w:vMerge w:val="restart"/>
                  <w:vAlign w:val="center"/>
                </w:tcPr>
                <w:p>
                  <w:pPr>
                    <w:spacing w:line="260" w:lineRule="exact"/>
                    <w:jc w:val="center"/>
                    <w:rPr>
                      <w:color w:val="000000"/>
                      <w:szCs w:val="21"/>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autoSpaceDE w:val="0"/>
                    <w:autoSpaceDN w:val="0"/>
                    <w:spacing w:line="260" w:lineRule="exact"/>
                    <w:jc w:val="center"/>
                    <w:rPr>
                      <w:color w:val="000000"/>
                      <w:szCs w:val="21"/>
                    </w:rPr>
                  </w:pPr>
                  <w:r>
                    <w:rPr>
                      <w:rFonts w:hint="eastAsia"/>
                      <w:color w:val="000000"/>
                      <w:szCs w:val="21"/>
                    </w:rPr>
                    <w:t>破碎机</w:t>
                  </w:r>
                </w:p>
              </w:tc>
              <w:tc>
                <w:tcPr>
                  <w:tcW w:w="2620" w:type="dxa"/>
                  <w:vAlign w:val="center"/>
                </w:tcPr>
                <w:p>
                  <w:pPr>
                    <w:spacing w:line="260" w:lineRule="exact"/>
                    <w:jc w:val="center"/>
                    <w:rPr>
                      <w:color w:val="000000"/>
                      <w:szCs w:val="21"/>
                    </w:rPr>
                  </w:pPr>
                  <w:r>
                    <w:rPr>
                      <w:rFonts w:hint="eastAsia"/>
                      <w:color w:val="000000"/>
                      <w:szCs w:val="21"/>
                    </w:rPr>
                    <w:t>集气罩+1</w:t>
                  </w:r>
                  <w:r>
                    <w:rPr>
                      <w:rFonts w:hint="eastAsia"/>
                      <w:color w:val="000000"/>
                      <w:szCs w:val="21"/>
                      <w:lang w:val="en-US" w:eastAsia="zh-CN"/>
                    </w:rPr>
                    <w:t>套</w:t>
                  </w:r>
                  <w:r>
                    <w:rPr>
                      <w:rFonts w:hint="eastAsia"/>
                      <w:color w:val="000000"/>
                      <w:szCs w:val="21"/>
                    </w:rPr>
                    <w:t>袋式除尘器（2#）</w:t>
                  </w:r>
                </w:p>
              </w:tc>
              <w:tc>
                <w:tcPr>
                  <w:tcW w:w="1744" w:type="dxa"/>
                  <w:vMerge w:val="continue"/>
                  <w:vAlign w:val="center"/>
                </w:tcPr>
                <w:p>
                  <w:pPr>
                    <w:spacing w:line="260" w:lineRule="exact"/>
                    <w:jc w:val="center"/>
                    <w:rPr>
                      <w:color w:val="000000"/>
                      <w:szCs w:val="21"/>
                    </w:rPr>
                  </w:pPr>
                </w:p>
              </w:tc>
              <w:tc>
                <w:tcPr>
                  <w:tcW w:w="1165" w:type="dxa"/>
                  <w:vMerge w:val="continue"/>
                  <w:vAlign w:val="center"/>
                </w:tcPr>
                <w:p>
                  <w:pPr>
                    <w:spacing w:line="260" w:lineRule="exact"/>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color w:val="000000"/>
                      <w:szCs w:val="21"/>
                    </w:rPr>
                  </w:pPr>
                  <w:r>
                    <w:rPr>
                      <w:rFonts w:hint="eastAsia"/>
                      <w:color w:val="000000"/>
                      <w:szCs w:val="21"/>
                    </w:rPr>
                    <w:t>烘干机</w:t>
                  </w:r>
                </w:p>
              </w:tc>
              <w:tc>
                <w:tcPr>
                  <w:tcW w:w="4364" w:type="dxa"/>
                  <w:gridSpan w:val="2"/>
                  <w:vAlign w:val="center"/>
                </w:tcPr>
                <w:p>
                  <w:pPr>
                    <w:spacing w:line="260" w:lineRule="exact"/>
                    <w:contextualSpacing/>
                    <w:jc w:val="center"/>
                    <w:rPr>
                      <w:color w:val="000000"/>
                      <w:szCs w:val="21"/>
                    </w:rPr>
                  </w:pPr>
                  <w:r>
                    <w:rPr>
                      <w:rFonts w:hint="eastAsia"/>
                      <w:color w:val="000000"/>
                      <w:szCs w:val="21"/>
                      <w:lang w:val="en-US" w:eastAsia="zh-CN"/>
                    </w:rPr>
                    <w:t>2套旋风除尘器（1#、2#）</w:t>
                  </w:r>
                  <w:r>
                    <w:rPr>
                      <w:rFonts w:hint="eastAsia"/>
                      <w:color w:val="000000"/>
                      <w:szCs w:val="21"/>
                    </w:rPr>
                    <w:t>+2</w:t>
                  </w:r>
                  <w:r>
                    <w:rPr>
                      <w:rFonts w:hint="eastAsia"/>
                      <w:color w:val="000000"/>
                      <w:szCs w:val="21"/>
                      <w:lang w:val="en-US" w:eastAsia="zh-CN"/>
                    </w:rPr>
                    <w:t>套</w:t>
                  </w:r>
                  <w:r>
                    <w:rPr>
                      <w:rFonts w:hint="eastAsia"/>
                      <w:color w:val="000000"/>
                      <w:szCs w:val="21"/>
                    </w:rPr>
                    <w:t>袋式除尘器（3#、4#）+1根15m高排气筒（DA002）</w:t>
                  </w:r>
                </w:p>
              </w:tc>
              <w:tc>
                <w:tcPr>
                  <w:tcW w:w="1165" w:type="dxa"/>
                  <w:vAlign w:val="center"/>
                </w:tcPr>
                <w:p>
                  <w:pPr>
                    <w:spacing w:line="260" w:lineRule="exact"/>
                    <w:contextualSpacing/>
                    <w:jc w:val="center"/>
                    <w:rPr>
                      <w:color w:val="000000"/>
                      <w:szCs w:val="21"/>
                    </w:rPr>
                  </w:pPr>
                  <w:r>
                    <w:rPr>
                      <w:rFonts w:hint="eastAsia"/>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rFonts w:hint="eastAsia" w:eastAsia="宋体"/>
                      <w:b/>
                      <w:bCs/>
                      <w:color w:val="000000"/>
                      <w:szCs w:val="21"/>
                      <w:u w:val="single"/>
                      <w:lang w:val="en-US" w:eastAsia="zh-CN"/>
                    </w:rPr>
                  </w:pPr>
                  <w:r>
                    <w:rPr>
                      <w:rFonts w:hint="eastAsia"/>
                      <w:b/>
                      <w:bCs/>
                      <w:color w:val="000000"/>
                      <w:szCs w:val="21"/>
                      <w:u w:val="single"/>
                      <w:lang w:val="en-US" w:eastAsia="zh-CN"/>
                    </w:rPr>
                    <w:t>成品料仓</w:t>
                  </w:r>
                </w:p>
              </w:tc>
              <w:tc>
                <w:tcPr>
                  <w:tcW w:w="2620" w:type="dxa"/>
                  <w:vAlign w:val="center"/>
                </w:tcPr>
                <w:p>
                  <w:pPr>
                    <w:spacing w:line="260" w:lineRule="exact"/>
                    <w:contextualSpacing/>
                    <w:jc w:val="center"/>
                    <w:rPr>
                      <w:rFonts w:hint="eastAsia"/>
                      <w:b/>
                      <w:bCs/>
                      <w:color w:val="000000"/>
                      <w:szCs w:val="21"/>
                      <w:u w:val="single"/>
                      <w:lang w:val="en-US" w:eastAsia="zh-CN"/>
                    </w:rPr>
                  </w:pPr>
                  <w:r>
                    <w:rPr>
                      <w:rFonts w:hint="eastAsia"/>
                      <w:b/>
                      <w:bCs/>
                      <w:color w:val="000000"/>
                      <w:szCs w:val="21"/>
                      <w:u w:val="single"/>
                      <w:lang w:val="en-US" w:eastAsia="zh-CN"/>
                    </w:rPr>
                    <w:t>每个料仓上方均设置一套袋式除尘器，共3套（5#、6#、7#）</w:t>
                  </w:r>
                </w:p>
              </w:tc>
              <w:tc>
                <w:tcPr>
                  <w:tcW w:w="1744" w:type="dxa"/>
                  <w:vMerge w:val="restart"/>
                  <w:vAlign w:val="center"/>
                </w:tcPr>
                <w:p>
                  <w:pPr>
                    <w:spacing w:line="260" w:lineRule="exact"/>
                    <w:contextualSpacing/>
                    <w:jc w:val="center"/>
                    <w:rPr>
                      <w:rFonts w:hint="eastAsia"/>
                      <w:b/>
                      <w:bCs/>
                      <w:color w:val="000000"/>
                      <w:szCs w:val="21"/>
                      <w:u w:val="single"/>
                      <w:lang w:val="en-US" w:eastAsia="zh-CN"/>
                    </w:rPr>
                  </w:pPr>
                  <w:r>
                    <w:rPr>
                      <w:rFonts w:hint="eastAsia"/>
                      <w:b/>
                      <w:bCs/>
                      <w:color w:val="000000"/>
                      <w:szCs w:val="21"/>
                      <w:u w:val="single"/>
                      <w:lang w:val="en-US" w:eastAsia="zh-CN"/>
                    </w:rPr>
                    <w:t>一根15m高排气筒DA003排放</w:t>
                  </w:r>
                </w:p>
              </w:tc>
              <w:tc>
                <w:tcPr>
                  <w:tcW w:w="1165" w:type="dxa"/>
                  <w:vMerge w:val="restart"/>
                  <w:vAlign w:val="center"/>
                </w:tcPr>
                <w:p>
                  <w:pPr>
                    <w:spacing w:line="260" w:lineRule="exact"/>
                    <w:contextualSpacing/>
                    <w:jc w:val="center"/>
                    <w:rPr>
                      <w:rFonts w:hint="eastAsia" w:eastAsia="宋体"/>
                      <w:b/>
                      <w:bCs/>
                      <w:color w:val="000000"/>
                      <w:szCs w:val="21"/>
                      <w:u w:val="single"/>
                      <w:lang w:val="en-US" w:eastAsia="zh-CN"/>
                    </w:rPr>
                  </w:pPr>
                  <w:r>
                    <w:rPr>
                      <w:rFonts w:hint="eastAsia"/>
                      <w:b/>
                      <w:bCs/>
                      <w:color w:val="000000"/>
                      <w:szCs w:val="21"/>
                      <w:u w:val="singl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rFonts w:hint="eastAsia"/>
                      <w:b/>
                      <w:bCs/>
                      <w:color w:val="000000"/>
                      <w:szCs w:val="21"/>
                      <w:u w:val="single"/>
                      <w:lang w:val="en-US" w:eastAsia="zh-CN"/>
                    </w:rPr>
                  </w:pPr>
                  <w:r>
                    <w:rPr>
                      <w:rFonts w:hint="eastAsia"/>
                      <w:b/>
                      <w:bCs/>
                      <w:color w:val="000000"/>
                      <w:szCs w:val="21"/>
                      <w:u w:val="single"/>
                      <w:lang w:val="en-US" w:eastAsia="zh-CN"/>
                    </w:rPr>
                    <w:t>包装机</w:t>
                  </w:r>
                </w:p>
              </w:tc>
              <w:tc>
                <w:tcPr>
                  <w:tcW w:w="2620" w:type="dxa"/>
                  <w:vAlign w:val="center"/>
                </w:tcPr>
                <w:p>
                  <w:pPr>
                    <w:spacing w:line="260" w:lineRule="exact"/>
                    <w:contextualSpacing/>
                    <w:jc w:val="center"/>
                    <w:rPr>
                      <w:rFonts w:hint="eastAsia"/>
                      <w:b/>
                      <w:bCs/>
                      <w:color w:val="000000"/>
                      <w:szCs w:val="21"/>
                      <w:u w:val="single"/>
                      <w:lang w:val="en-US" w:eastAsia="zh-CN"/>
                    </w:rPr>
                  </w:pPr>
                  <w:r>
                    <w:rPr>
                      <w:rFonts w:hint="eastAsia"/>
                      <w:b/>
                      <w:bCs/>
                      <w:color w:val="000000"/>
                      <w:szCs w:val="21"/>
                      <w:u w:val="single"/>
                      <w:lang w:val="en-US" w:eastAsia="zh-CN"/>
                    </w:rPr>
                    <w:t>每台包装机上方均设置一套袋式除尘器，共3套（8#、9#、10#）</w:t>
                  </w:r>
                </w:p>
              </w:tc>
              <w:tc>
                <w:tcPr>
                  <w:tcW w:w="1744" w:type="dxa"/>
                  <w:vMerge w:val="continue"/>
                  <w:vAlign w:val="center"/>
                </w:tcPr>
                <w:p>
                  <w:pPr>
                    <w:spacing w:line="260" w:lineRule="exact"/>
                    <w:contextualSpacing/>
                    <w:jc w:val="center"/>
                    <w:rPr>
                      <w:rFonts w:hint="eastAsia"/>
                      <w:b/>
                      <w:bCs/>
                      <w:color w:val="000000"/>
                      <w:szCs w:val="21"/>
                      <w:u w:val="single"/>
                      <w:lang w:val="en-US" w:eastAsia="zh-CN"/>
                    </w:rPr>
                  </w:pPr>
                </w:p>
              </w:tc>
              <w:tc>
                <w:tcPr>
                  <w:tcW w:w="1165" w:type="dxa"/>
                  <w:vMerge w:val="continue"/>
                  <w:vAlign w:val="center"/>
                </w:tcPr>
                <w:p>
                  <w:pPr>
                    <w:spacing w:line="260" w:lineRule="exact"/>
                    <w:contextualSpacing/>
                    <w:jc w:val="center"/>
                    <w:rPr>
                      <w:rFonts w:hint="eastAsia"/>
                      <w:b/>
                      <w:bCs/>
                      <w:color w:val="000000"/>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color w:val="000000"/>
                      <w:szCs w:val="21"/>
                    </w:rPr>
                  </w:pPr>
                  <w:r>
                    <w:rPr>
                      <w:rFonts w:hint="eastAsia"/>
                      <w:color w:val="000000"/>
                      <w:szCs w:val="21"/>
                    </w:rPr>
                    <w:t>油烟</w:t>
                  </w:r>
                </w:p>
              </w:tc>
              <w:tc>
                <w:tcPr>
                  <w:tcW w:w="4364" w:type="dxa"/>
                  <w:gridSpan w:val="2"/>
                  <w:vAlign w:val="center"/>
                </w:tcPr>
                <w:p>
                  <w:pPr>
                    <w:spacing w:line="260" w:lineRule="exact"/>
                    <w:contextualSpacing/>
                    <w:jc w:val="center"/>
                    <w:rPr>
                      <w:color w:val="000000"/>
                      <w:szCs w:val="21"/>
                    </w:rPr>
                  </w:pPr>
                  <w:r>
                    <w:rPr>
                      <w:rFonts w:hint="eastAsia"/>
                      <w:color w:val="000000"/>
                      <w:szCs w:val="21"/>
                    </w:rPr>
                    <w:t>油烟净化器+高于食堂楼顶排气筒</w:t>
                  </w:r>
                </w:p>
              </w:tc>
              <w:tc>
                <w:tcPr>
                  <w:tcW w:w="1165" w:type="dxa"/>
                  <w:vAlign w:val="center"/>
                </w:tcPr>
                <w:p>
                  <w:pPr>
                    <w:spacing w:line="260" w:lineRule="exact"/>
                    <w:contextualSpacing/>
                    <w:jc w:val="center"/>
                    <w:rPr>
                      <w:color w:val="000000"/>
                      <w:szCs w:val="21"/>
                    </w:rPr>
                  </w:pPr>
                  <w:r>
                    <w:rPr>
                      <w:rFonts w:hint="eastAsia"/>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restart"/>
                  <w:vAlign w:val="center"/>
                </w:tcPr>
                <w:p>
                  <w:pPr>
                    <w:spacing w:line="260" w:lineRule="exact"/>
                    <w:contextualSpacing/>
                    <w:jc w:val="center"/>
                    <w:rPr>
                      <w:color w:val="000000"/>
                      <w:szCs w:val="21"/>
                    </w:rPr>
                  </w:pPr>
                  <w:r>
                    <w:rPr>
                      <w:rFonts w:hint="eastAsia"/>
                      <w:color w:val="000000"/>
                      <w:szCs w:val="21"/>
                    </w:rPr>
                    <w:t>2</w:t>
                  </w:r>
                </w:p>
              </w:tc>
              <w:tc>
                <w:tcPr>
                  <w:tcW w:w="656" w:type="dxa"/>
                  <w:vMerge w:val="restart"/>
                  <w:vAlign w:val="center"/>
                </w:tcPr>
                <w:p>
                  <w:pPr>
                    <w:spacing w:line="260" w:lineRule="exact"/>
                    <w:contextualSpacing/>
                    <w:jc w:val="center"/>
                    <w:rPr>
                      <w:color w:val="000000"/>
                      <w:szCs w:val="21"/>
                    </w:rPr>
                  </w:pPr>
                  <w:r>
                    <w:rPr>
                      <w:rFonts w:hint="eastAsia"/>
                      <w:color w:val="000000"/>
                      <w:szCs w:val="21"/>
                    </w:rPr>
                    <w:t>废水</w:t>
                  </w:r>
                </w:p>
              </w:tc>
              <w:tc>
                <w:tcPr>
                  <w:tcW w:w="1060" w:type="dxa"/>
                  <w:vAlign w:val="center"/>
                </w:tcPr>
                <w:p>
                  <w:pPr>
                    <w:spacing w:line="260" w:lineRule="exact"/>
                    <w:contextualSpacing/>
                    <w:jc w:val="center"/>
                    <w:rPr>
                      <w:color w:val="000000"/>
                      <w:szCs w:val="21"/>
                    </w:rPr>
                  </w:pPr>
                  <w:r>
                    <w:rPr>
                      <w:rFonts w:hint="eastAsia"/>
                      <w:color w:val="000000"/>
                      <w:szCs w:val="21"/>
                    </w:rPr>
                    <w:t>生活污水</w:t>
                  </w:r>
                </w:p>
              </w:tc>
              <w:tc>
                <w:tcPr>
                  <w:tcW w:w="4364" w:type="dxa"/>
                  <w:gridSpan w:val="2"/>
                  <w:vAlign w:val="center"/>
                </w:tcPr>
                <w:p>
                  <w:pPr>
                    <w:spacing w:line="260" w:lineRule="exact"/>
                    <w:contextualSpacing/>
                    <w:jc w:val="center"/>
                    <w:rPr>
                      <w:rFonts w:hint="eastAsia" w:eastAsia="宋体"/>
                      <w:color w:val="000000"/>
                      <w:szCs w:val="21"/>
                      <w:lang w:val="en-US" w:eastAsia="zh-CN"/>
                    </w:rPr>
                  </w:pPr>
                  <w:r>
                    <w:rPr>
                      <w:rFonts w:hint="eastAsia"/>
                      <w:color w:val="000000"/>
                      <w:szCs w:val="21"/>
                    </w:rPr>
                    <w:t>食堂废水经隔油池（2m</w:t>
                  </w:r>
                  <w:r>
                    <w:rPr>
                      <w:rFonts w:hint="eastAsia"/>
                      <w:color w:val="000000"/>
                      <w:szCs w:val="21"/>
                      <w:vertAlign w:val="superscript"/>
                    </w:rPr>
                    <w:t>3</w:t>
                  </w:r>
                  <w:r>
                    <w:rPr>
                      <w:rFonts w:hint="eastAsia"/>
                      <w:color w:val="000000"/>
                      <w:szCs w:val="21"/>
                    </w:rPr>
                    <w:t>）处理后，同其他生活废水一起进入化粪池（12m</w:t>
                  </w:r>
                  <w:r>
                    <w:rPr>
                      <w:rFonts w:hint="eastAsia"/>
                      <w:color w:val="000000"/>
                      <w:szCs w:val="21"/>
                      <w:vertAlign w:val="superscript"/>
                    </w:rPr>
                    <w:t>3</w:t>
                  </w:r>
                  <w:r>
                    <w:rPr>
                      <w:rFonts w:hint="eastAsia"/>
                      <w:color w:val="000000"/>
                      <w:szCs w:val="21"/>
                    </w:rPr>
                    <w:t>）处理后，</w:t>
                  </w:r>
                  <w:r>
                    <w:rPr>
                      <w:rFonts w:hint="eastAsia"/>
                      <w:color w:val="000000"/>
                      <w:szCs w:val="21"/>
                      <w:lang w:val="en-US" w:eastAsia="zh-CN"/>
                    </w:rPr>
                    <w:t>定期由吸粪车运至</w:t>
                  </w:r>
                  <w:r>
                    <w:rPr>
                      <w:rFonts w:hint="eastAsia"/>
                      <w:color w:val="000000"/>
                      <w:szCs w:val="21"/>
                    </w:rPr>
                    <w:t>集聚区污水处理厂</w:t>
                  </w:r>
                  <w:r>
                    <w:rPr>
                      <w:rFonts w:hint="eastAsia"/>
                      <w:color w:val="000000"/>
                      <w:szCs w:val="21"/>
                      <w:lang w:val="en-US" w:eastAsia="zh-CN"/>
                    </w:rPr>
                    <w:t>处理</w:t>
                  </w:r>
                </w:p>
              </w:tc>
              <w:tc>
                <w:tcPr>
                  <w:tcW w:w="1165" w:type="dxa"/>
                  <w:vAlign w:val="center"/>
                </w:tcPr>
                <w:p>
                  <w:pPr>
                    <w:spacing w:line="260" w:lineRule="exact"/>
                    <w:contextualSpacing/>
                    <w:jc w:val="center"/>
                    <w:rPr>
                      <w:color w:val="000000"/>
                      <w:szCs w:val="21"/>
                    </w:rPr>
                  </w:pPr>
                  <w:r>
                    <w:rPr>
                      <w:rFonts w:hint="eastAsia"/>
                      <w:color w:val="000000"/>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rFonts w:hint="eastAsia"/>
                      <w:color w:val="000000"/>
                      <w:szCs w:val="21"/>
                    </w:rPr>
                  </w:pPr>
                </w:p>
              </w:tc>
              <w:tc>
                <w:tcPr>
                  <w:tcW w:w="656" w:type="dxa"/>
                  <w:vMerge w:val="continue"/>
                  <w:vAlign w:val="center"/>
                </w:tcPr>
                <w:p>
                  <w:pPr>
                    <w:spacing w:line="260" w:lineRule="exact"/>
                    <w:contextualSpacing/>
                    <w:jc w:val="center"/>
                    <w:rPr>
                      <w:rFonts w:hint="eastAsia"/>
                      <w:color w:val="000000"/>
                      <w:szCs w:val="21"/>
                    </w:rPr>
                  </w:pPr>
                </w:p>
              </w:tc>
              <w:tc>
                <w:tcPr>
                  <w:tcW w:w="1060" w:type="dxa"/>
                  <w:vAlign w:val="center"/>
                </w:tcPr>
                <w:p>
                  <w:pPr>
                    <w:spacing w:line="260" w:lineRule="exact"/>
                    <w:contextualSpacing/>
                    <w:jc w:val="center"/>
                    <w:rPr>
                      <w:rFonts w:hint="eastAsia" w:eastAsia="宋体"/>
                      <w:b/>
                      <w:bCs/>
                      <w:color w:val="000000"/>
                      <w:szCs w:val="21"/>
                      <w:u w:val="single"/>
                      <w:lang w:val="en-US" w:eastAsia="zh-CN"/>
                    </w:rPr>
                  </w:pPr>
                  <w:r>
                    <w:rPr>
                      <w:rFonts w:hint="eastAsia"/>
                      <w:b/>
                      <w:bCs/>
                      <w:color w:val="000000"/>
                      <w:szCs w:val="21"/>
                      <w:u w:val="single"/>
                      <w:lang w:val="en-US" w:eastAsia="zh-CN"/>
                    </w:rPr>
                    <w:t>生产废水</w:t>
                  </w:r>
                </w:p>
              </w:tc>
              <w:tc>
                <w:tcPr>
                  <w:tcW w:w="4364" w:type="dxa"/>
                  <w:gridSpan w:val="2"/>
                  <w:vAlign w:val="center"/>
                </w:tcPr>
                <w:p>
                  <w:pPr>
                    <w:spacing w:line="260" w:lineRule="exact"/>
                    <w:contextualSpacing/>
                    <w:jc w:val="center"/>
                    <w:rPr>
                      <w:rFonts w:hint="eastAsia" w:eastAsia="宋体"/>
                      <w:b/>
                      <w:bCs/>
                      <w:color w:val="000000"/>
                      <w:szCs w:val="21"/>
                      <w:u w:val="single"/>
                      <w:lang w:val="en-US" w:eastAsia="zh-CN"/>
                    </w:rPr>
                  </w:pPr>
                  <w:r>
                    <w:rPr>
                      <w:rFonts w:hint="eastAsia"/>
                      <w:b/>
                      <w:bCs/>
                      <w:color w:val="000000"/>
                      <w:szCs w:val="21"/>
                      <w:u w:val="single"/>
                      <w:lang w:val="en-US" w:eastAsia="zh-CN"/>
                    </w:rPr>
                    <w:t>设置浓缩罐加药沉淀后，上清液直接排入储水池，下层沉淀物进行脱水处理，脱出的水分排入储水池，循环使用</w:t>
                  </w:r>
                </w:p>
              </w:tc>
              <w:tc>
                <w:tcPr>
                  <w:tcW w:w="1165" w:type="dxa"/>
                  <w:vAlign w:val="center"/>
                </w:tcPr>
                <w:p>
                  <w:pPr>
                    <w:spacing w:line="260" w:lineRule="exact"/>
                    <w:contextualSpacing/>
                    <w:jc w:val="center"/>
                    <w:rPr>
                      <w:rFonts w:hint="eastAsia" w:eastAsia="宋体"/>
                      <w:b/>
                      <w:bCs/>
                      <w:color w:val="000000"/>
                      <w:szCs w:val="21"/>
                      <w:u w:val="single"/>
                      <w:lang w:val="en-US" w:eastAsia="zh-CN"/>
                    </w:rPr>
                  </w:pPr>
                  <w:r>
                    <w:rPr>
                      <w:rFonts w:hint="eastAsia"/>
                      <w:b/>
                      <w:bCs/>
                      <w:color w:val="000000"/>
                      <w:szCs w:val="21"/>
                      <w:u w:val="singl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color w:val="000000"/>
                      <w:szCs w:val="21"/>
                    </w:rPr>
                  </w:pPr>
                  <w:r>
                    <w:rPr>
                      <w:rFonts w:hint="eastAsia"/>
                      <w:color w:val="000000"/>
                      <w:szCs w:val="21"/>
                    </w:rPr>
                    <w:t>车辆冲洗废水</w:t>
                  </w:r>
                </w:p>
              </w:tc>
              <w:tc>
                <w:tcPr>
                  <w:tcW w:w="4364" w:type="dxa"/>
                  <w:gridSpan w:val="2"/>
                  <w:vAlign w:val="center"/>
                </w:tcPr>
                <w:p>
                  <w:pPr>
                    <w:spacing w:line="260" w:lineRule="exact"/>
                    <w:contextualSpacing/>
                    <w:jc w:val="center"/>
                    <w:rPr>
                      <w:color w:val="000000"/>
                      <w:szCs w:val="21"/>
                    </w:rPr>
                  </w:pPr>
                  <w:r>
                    <w:rPr>
                      <w:rFonts w:hint="eastAsia"/>
                      <w:color w:val="000000"/>
                      <w:szCs w:val="21"/>
                    </w:rPr>
                    <w:t>设置感应式车辆冲洗装置，冲洗废水经沉淀池（100m</w:t>
                  </w:r>
                  <w:r>
                    <w:rPr>
                      <w:rFonts w:hint="eastAsia"/>
                      <w:color w:val="000000"/>
                      <w:szCs w:val="21"/>
                      <w:vertAlign w:val="superscript"/>
                    </w:rPr>
                    <w:t>3</w:t>
                  </w:r>
                  <w:r>
                    <w:rPr>
                      <w:rFonts w:hint="eastAsia"/>
                      <w:color w:val="000000"/>
                      <w:szCs w:val="21"/>
                    </w:rPr>
                    <w:t>）沉淀处理后，回用于车辆冲洗</w:t>
                  </w:r>
                </w:p>
              </w:tc>
              <w:tc>
                <w:tcPr>
                  <w:tcW w:w="1165" w:type="dxa"/>
                  <w:vAlign w:val="center"/>
                </w:tcPr>
                <w:p>
                  <w:pPr>
                    <w:spacing w:line="260" w:lineRule="exact"/>
                    <w:contextualSpacing/>
                    <w:jc w:val="center"/>
                    <w:rPr>
                      <w:color w:val="000000"/>
                      <w:szCs w:val="21"/>
                    </w:rPr>
                  </w:pPr>
                  <w:r>
                    <w:rPr>
                      <w:rFonts w:hint="eastAsia"/>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color w:val="000000"/>
                      <w:szCs w:val="21"/>
                    </w:rPr>
                  </w:pPr>
                  <w:r>
                    <w:rPr>
                      <w:rFonts w:hint="eastAsia"/>
                      <w:color w:val="000000"/>
                      <w:szCs w:val="21"/>
                    </w:rPr>
                    <w:t>初期雨水</w:t>
                  </w:r>
                </w:p>
              </w:tc>
              <w:tc>
                <w:tcPr>
                  <w:tcW w:w="4364" w:type="dxa"/>
                  <w:gridSpan w:val="2"/>
                  <w:vAlign w:val="center"/>
                </w:tcPr>
                <w:p>
                  <w:pPr>
                    <w:spacing w:line="260" w:lineRule="exact"/>
                    <w:contextualSpacing/>
                    <w:jc w:val="center"/>
                    <w:rPr>
                      <w:color w:val="000000"/>
                      <w:szCs w:val="21"/>
                    </w:rPr>
                  </w:pPr>
                  <w:r>
                    <w:rPr>
                      <w:rFonts w:hint="eastAsia"/>
                      <w:color w:val="000000"/>
                      <w:szCs w:val="21"/>
                    </w:rPr>
                    <w:t>设置一座初期雨水收集池（190m</w:t>
                  </w:r>
                  <w:r>
                    <w:rPr>
                      <w:rFonts w:hint="eastAsia"/>
                      <w:color w:val="000000"/>
                      <w:szCs w:val="21"/>
                      <w:vertAlign w:val="superscript"/>
                    </w:rPr>
                    <w:t>3</w:t>
                  </w:r>
                  <w:r>
                    <w:rPr>
                      <w:rFonts w:hint="eastAsia"/>
                      <w:color w:val="000000"/>
                      <w:szCs w:val="21"/>
                    </w:rPr>
                    <w:t>）收集后，用于厂区洒水降尘</w:t>
                  </w:r>
                </w:p>
              </w:tc>
              <w:tc>
                <w:tcPr>
                  <w:tcW w:w="1165" w:type="dxa"/>
                  <w:vAlign w:val="center"/>
                </w:tcPr>
                <w:p>
                  <w:pPr>
                    <w:spacing w:line="260" w:lineRule="exact"/>
                    <w:contextualSpacing/>
                    <w:jc w:val="center"/>
                    <w:rPr>
                      <w:b/>
                      <w:bCs/>
                      <w:color w:val="000000"/>
                      <w:szCs w:val="21"/>
                      <w:u w:val="single"/>
                    </w:rPr>
                  </w:pPr>
                  <w:r>
                    <w:rPr>
                      <w:rFonts w:hint="eastAsia"/>
                      <w:color w:val="000000"/>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Align w:val="center"/>
                </w:tcPr>
                <w:p>
                  <w:pPr>
                    <w:spacing w:line="260" w:lineRule="exact"/>
                    <w:contextualSpacing/>
                    <w:jc w:val="center"/>
                    <w:rPr>
                      <w:color w:val="000000"/>
                      <w:szCs w:val="21"/>
                    </w:rPr>
                  </w:pPr>
                  <w:r>
                    <w:rPr>
                      <w:rFonts w:hint="eastAsia"/>
                      <w:color w:val="000000"/>
                      <w:szCs w:val="21"/>
                    </w:rPr>
                    <w:t>3</w:t>
                  </w:r>
                </w:p>
              </w:tc>
              <w:tc>
                <w:tcPr>
                  <w:tcW w:w="656" w:type="dxa"/>
                  <w:vAlign w:val="center"/>
                </w:tcPr>
                <w:p>
                  <w:pPr>
                    <w:spacing w:line="260" w:lineRule="exact"/>
                    <w:contextualSpacing/>
                    <w:jc w:val="center"/>
                    <w:rPr>
                      <w:color w:val="000000"/>
                      <w:szCs w:val="21"/>
                    </w:rPr>
                  </w:pPr>
                  <w:r>
                    <w:rPr>
                      <w:rFonts w:hint="eastAsia"/>
                      <w:color w:val="000000"/>
                      <w:szCs w:val="21"/>
                    </w:rPr>
                    <w:t>噪声</w:t>
                  </w:r>
                </w:p>
              </w:tc>
              <w:tc>
                <w:tcPr>
                  <w:tcW w:w="1060" w:type="dxa"/>
                  <w:vAlign w:val="center"/>
                </w:tcPr>
                <w:p>
                  <w:pPr>
                    <w:spacing w:line="260" w:lineRule="exact"/>
                    <w:contextualSpacing/>
                    <w:jc w:val="center"/>
                    <w:rPr>
                      <w:color w:val="000000"/>
                      <w:szCs w:val="21"/>
                    </w:rPr>
                  </w:pPr>
                  <w:r>
                    <w:rPr>
                      <w:rFonts w:hint="eastAsia"/>
                      <w:color w:val="000000"/>
                      <w:szCs w:val="21"/>
                    </w:rPr>
                    <w:t>设备噪声</w:t>
                  </w:r>
                </w:p>
              </w:tc>
              <w:tc>
                <w:tcPr>
                  <w:tcW w:w="4364" w:type="dxa"/>
                  <w:gridSpan w:val="2"/>
                  <w:vAlign w:val="center"/>
                </w:tcPr>
                <w:p>
                  <w:pPr>
                    <w:spacing w:line="260" w:lineRule="exact"/>
                    <w:contextualSpacing/>
                    <w:jc w:val="center"/>
                    <w:rPr>
                      <w:color w:val="000000"/>
                      <w:szCs w:val="21"/>
                    </w:rPr>
                  </w:pPr>
                  <w:r>
                    <w:rPr>
                      <w:rFonts w:hint="eastAsia"/>
                      <w:color w:val="000000"/>
                      <w:szCs w:val="21"/>
                    </w:rPr>
                    <w:t>厂房内布置</w:t>
                  </w:r>
                  <w:r>
                    <w:rPr>
                      <w:color w:val="000000"/>
                      <w:szCs w:val="21"/>
                    </w:rPr>
                    <w:t>、减</w:t>
                  </w:r>
                  <w:r>
                    <w:rPr>
                      <w:rFonts w:hint="eastAsia"/>
                      <w:color w:val="000000"/>
                      <w:szCs w:val="21"/>
                    </w:rPr>
                    <w:t>震基础</w:t>
                  </w:r>
                  <w:r>
                    <w:rPr>
                      <w:color w:val="000000"/>
                      <w:szCs w:val="21"/>
                    </w:rPr>
                    <w:t>等措施</w:t>
                  </w:r>
                </w:p>
              </w:tc>
              <w:tc>
                <w:tcPr>
                  <w:tcW w:w="1165" w:type="dxa"/>
                  <w:vAlign w:val="center"/>
                </w:tcPr>
                <w:p>
                  <w:pPr>
                    <w:spacing w:line="260" w:lineRule="exact"/>
                    <w:contextualSpacing/>
                    <w:jc w:val="center"/>
                    <w:rPr>
                      <w:color w:val="000000"/>
                      <w:szCs w:val="21"/>
                    </w:rPr>
                  </w:pPr>
                  <w:r>
                    <w:rPr>
                      <w:rFonts w:hint="eastAsia"/>
                      <w:color w:val="00000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restart"/>
                  <w:vAlign w:val="center"/>
                </w:tcPr>
                <w:p>
                  <w:pPr>
                    <w:spacing w:line="260" w:lineRule="exact"/>
                    <w:contextualSpacing/>
                    <w:jc w:val="center"/>
                    <w:rPr>
                      <w:color w:val="000000"/>
                      <w:szCs w:val="21"/>
                    </w:rPr>
                  </w:pPr>
                  <w:r>
                    <w:rPr>
                      <w:rFonts w:hint="eastAsia"/>
                      <w:color w:val="000000"/>
                      <w:szCs w:val="21"/>
                    </w:rPr>
                    <w:t>4</w:t>
                  </w:r>
                </w:p>
              </w:tc>
              <w:tc>
                <w:tcPr>
                  <w:tcW w:w="656" w:type="dxa"/>
                  <w:vMerge w:val="restart"/>
                  <w:vAlign w:val="center"/>
                </w:tcPr>
                <w:p>
                  <w:pPr>
                    <w:spacing w:line="260" w:lineRule="exact"/>
                    <w:contextualSpacing/>
                    <w:jc w:val="center"/>
                    <w:rPr>
                      <w:color w:val="000000"/>
                      <w:szCs w:val="21"/>
                    </w:rPr>
                  </w:pPr>
                  <w:r>
                    <w:rPr>
                      <w:rFonts w:hint="eastAsia"/>
                      <w:color w:val="000000"/>
                      <w:szCs w:val="21"/>
                    </w:rPr>
                    <w:t>固废</w:t>
                  </w:r>
                </w:p>
              </w:tc>
              <w:tc>
                <w:tcPr>
                  <w:tcW w:w="1060" w:type="dxa"/>
                  <w:vAlign w:val="center"/>
                </w:tcPr>
                <w:p>
                  <w:pPr>
                    <w:spacing w:line="260" w:lineRule="exact"/>
                    <w:contextualSpacing/>
                    <w:jc w:val="center"/>
                    <w:rPr>
                      <w:color w:val="000000"/>
                      <w:szCs w:val="21"/>
                    </w:rPr>
                  </w:pPr>
                  <w:r>
                    <w:rPr>
                      <w:rFonts w:hint="eastAsia"/>
                      <w:color w:val="000000"/>
                      <w:szCs w:val="21"/>
                    </w:rPr>
                    <w:t>生活垃圾</w:t>
                  </w:r>
                </w:p>
              </w:tc>
              <w:tc>
                <w:tcPr>
                  <w:tcW w:w="4364" w:type="dxa"/>
                  <w:gridSpan w:val="2"/>
                  <w:vAlign w:val="center"/>
                </w:tcPr>
                <w:p>
                  <w:pPr>
                    <w:spacing w:line="260" w:lineRule="exact"/>
                    <w:contextualSpacing/>
                    <w:jc w:val="center"/>
                    <w:rPr>
                      <w:color w:val="000000"/>
                      <w:szCs w:val="21"/>
                    </w:rPr>
                  </w:pPr>
                  <w:r>
                    <w:rPr>
                      <w:rFonts w:hint="eastAsia"/>
                      <w:color w:val="000000"/>
                      <w:szCs w:val="21"/>
                    </w:rPr>
                    <w:t>垃圾桶及垃圾箱</w:t>
                  </w:r>
                </w:p>
              </w:tc>
              <w:tc>
                <w:tcPr>
                  <w:tcW w:w="1165" w:type="dxa"/>
                  <w:vAlign w:val="center"/>
                </w:tcPr>
                <w:p>
                  <w:pPr>
                    <w:spacing w:line="260" w:lineRule="exact"/>
                    <w:contextualSpacing/>
                    <w:jc w:val="center"/>
                    <w:rPr>
                      <w:color w:val="000000"/>
                      <w:szCs w:val="21"/>
                    </w:rPr>
                  </w:pPr>
                  <w:r>
                    <w:rPr>
                      <w:rFonts w:hint="eastAsia"/>
                      <w:color w:val="000000"/>
                      <w:szCs w:val="21"/>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Merge w:val="continue"/>
                  <w:vAlign w:val="center"/>
                </w:tcPr>
                <w:p>
                  <w:pPr>
                    <w:spacing w:line="260" w:lineRule="exact"/>
                    <w:contextualSpacing/>
                    <w:jc w:val="center"/>
                    <w:rPr>
                      <w:color w:val="000000"/>
                      <w:szCs w:val="21"/>
                    </w:rPr>
                  </w:pPr>
                </w:p>
              </w:tc>
              <w:tc>
                <w:tcPr>
                  <w:tcW w:w="656" w:type="dxa"/>
                  <w:vMerge w:val="continue"/>
                  <w:vAlign w:val="center"/>
                </w:tcPr>
                <w:p>
                  <w:pPr>
                    <w:spacing w:line="260" w:lineRule="exact"/>
                    <w:contextualSpacing/>
                    <w:jc w:val="center"/>
                    <w:rPr>
                      <w:color w:val="000000"/>
                      <w:szCs w:val="21"/>
                    </w:rPr>
                  </w:pPr>
                </w:p>
              </w:tc>
              <w:tc>
                <w:tcPr>
                  <w:tcW w:w="1060" w:type="dxa"/>
                  <w:vAlign w:val="center"/>
                </w:tcPr>
                <w:p>
                  <w:pPr>
                    <w:spacing w:line="260" w:lineRule="exact"/>
                    <w:contextualSpacing/>
                    <w:jc w:val="center"/>
                    <w:rPr>
                      <w:color w:val="000000"/>
                      <w:szCs w:val="21"/>
                    </w:rPr>
                  </w:pPr>
                  <w:r>
                    <w:rPr>
                      <w:rFonts w:hint="eastAsia"/>
                      <w:color w:val="000000"/>
                      <w:szCs w:val="21"/>
                    </w:rPr>
                    <w:t>废机油、废润滑油</w:t>
                  </w:r>
                </w:p>
              </w:tc>
              <w:tc>
                <w:tcPr>
                  <w:tcW w:w="4364" w:type="dxa"/>
                  <w:gridSpan w:val="2"/>
                  <w:vAlign w:val="center"/>
                </w:tcPr>
                <w:p>
                  <w:pPr>
                    <w:spacing w:line="260" w:lineRule="exact"/>
                    <w:contextualSpacing/>
                    <w:jc w:val="center"/>
                    <w:rPr>
                      <w:color w:val="000000"/>
                      <w:szCs w:val="21"/>
                    </w:rPr>
                  </w:pPr>
                  <w:r>
                    <w:rPr>
                      <w:rFonts w:hint="eastAsia"/>
                      <w:color w:val="000000"/>
                      <w:szCs w:val="21"/>
                    </w:rPr>
                    <w:t>危险废物收集装置及危险废物固废暂存区10m</w:t>
                  </w:r>
                  <w:r>
                    <w:rPr>
                      <w:rFonts w:hint="eastAsia"/>
                      <w:color w:val="000000"/>
                      <w:szCs w:val="21"/>
                      <w:vertAlign w:val="superscript"/>
                    </w:rPr>
                    <w:t>2</w:t>
                  </w:r>
                </w:p>
              </w:tc>
              <w:tc>
                <w:tcPr>
                  <w:tcW w:w="1165" w:type="dxa"/>
                  <w:vAlign w:val="center"/>
                </w:tcPr>
                <w:p>
                  <w:pPr>
                    <w:spacing w:line="260" w:lineRule="exact"/>
                    <w:contextualSpacing/>
                    <w:jc w:val="center"/>
                    <w:rPr>
                      <w:color w:val="000000"/>
                      <w:szCs w:val="21"/>
                    </w:rPr>
                  </w:pPr>
                  <w:r>
                    <w:rPr>
                      <w:rFonts w:hint="eastAsia"/>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Align w:val="center"/>
                </w:tcPr>
                <w:p>
                  <w:pPr>
                    <w:spacing w:line="260" w:lineRule="exact"/>
                    <w:contextualSpacing/>
                    <w:jc w:val="center"/>
                    <w:rPr>
                      <w:color w:val="000000"/>
                      <w:szCs w:val="21"/>
                    </w:rPr>
                  </w:pPr>
                  <w:r>
                    <w:rPr>
                      <w:rFonts w:hint="eastAsia"/>
                      <w:color w:val="000000"/>
                      <w:szCs w:val="21"/>
                    </w:rPr>
                    <w:t>5</w:t>
                  </w:r>
                </w:p>
              </w:tc>
              <w:tc>
                <w:tcPr>
                  <w:tcW w:w="1716" w:type="dxa"/>
                  <w:gridSpan w:val="2"/>
                  <w:vAlign w:val="center"/>
                </w:tcPr>
                <w:p>
                  <w:pPr>
                    <w:spacing w:line="260" w:lineRule="exact"/>
                    <w:contextualSpacing/>
                    <w:jc w:val="center"/>
                    <w:rPr>
                      <w:color w:val="000000"/>
                      <w:szCs w:val="21"/>
                    </w:rPr>
                  </w:pPr>
                  <w:r>
                    <w:rPr>
                      <w:rFonts w:hint="eastAsia"/>
                      <w:color w:val="000000"/>
                      <w:szCs w:val="21"/>
                    </w:rPr>
                    <w:t>环境风险</w:t>
                  </w:r>
                </w:p>
              </w:tc>
              <w:tc>
                <w:tcPr>
                  <w:tcW w:w="4364" w:type="dxa"/>
                  <w:gridSpan w:val="2"/>
                  <w:vAlign w:val="center"/>
                </w:tcPr>
                <w:p>
                  <w:pPr>
                    <w:spacing w:line="260" w:lineRule="exact"/>
                    <w:contextualSpacing/>
                    <w:jc w:val="center"/>
                    <w:rPr>
                      <w:color w:val="000000"/>
                      <w:szCs w:val="21"/>
                    </w:rPr>
                  </w:pPr>
                  <w:r>
                    <w:rPr>
                      <w:rFonts w:hint="eastAsia"/>
                      <w:color w:val="000000"/>
                      <w:szCs w:val="21"/>
                    </w:rPr>
                    <w:t>设置消防器材、消防废水池（40m</w:t>
                  </w:r>
                  <w:r>
                    <w:rPr>
                      <w:rFonts w:hint="eastAsia"/>
                      <w:color w:val="000000"/>
                      <w:szCs w:val="21"/>
                      <w:vertAlign w:val="superscript"/>
                    </w:rPr>
                    <w:t>3</w:t>
                  </w:r>
                  <w:r>
                    <w:rPr>
                      <w:rFonts w:hint="eastAsia"/>
                      <w:color w:val="000000"/>
                      <w:szCs w:val="21"/>
                    </w:rPr>
                    <w:t>）、防爆电气设备、制定环境风险应急预案</w:t>
                  </w:r>
                </w:p>
              </w:tc>
              <w:tc>
                <w:tcPr>
                  <w:tcW w:w="1165" w:type="dxa"/>
                  <w:vAlign w:val="center"/>
                </w:tcPr>
                <w:p>
                  <w:pPr>
                    <w:spacing w:line="260" w:lineRule="exact"/>
                    <w:contextualSpacing/>
                    <w:jc w:val="center"/>
                    <w:rPr>
                      <w:b/>
                      <w:bCs/>
                      <w:color w:val="000000"/>
                      <w:szCs w:val="21"/>
                      <w:u w:val="single"/>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91" w:type="dxa"/>
                  <w:vAlign w:val="center"/>
                </w:tcPr>
                <w:p>
                  <w:pPr>
                    <w:spacing w:line="260" w:lineRule="exact"/>
                    <w:contextualSpacing/>
                    <w:jc w:val="center"/>
                    <w:rPr>
                      <w:rFonts w:hint="eastAsia" w:eastAsia="宋体"/>
                      <w:color w:val="000000"/>
                      <w:szCs w:val="21"/>
                      <w:lang w:eastAsia="zh-CN"/>
                    </w:rPr>
                  </w:pPr>
                  <w:r>
                    <w:rPr>
                      <w:rFonts w:hint="eastAsia"/>
                      <w:color w:val="000000"/>
                      <w:szCs w:val="21"/>
                      <w:lang w:val="en-US" w:eastAsia="zh-CN"/>
                    </w:rPr>
                    <w:t>6</w:t>
                  </w:r>
                </w:p>
              </w:tc>
              <w:tc>
                <w:tcPr>
                  <w:tcW w:w="6080" w:type="dxa"/>
                  <w:gridSpan w:val="4"/>
                  <w:vAlign w:val="center"/>
                </w:tcPr>
                <w:p>
                  <w:pPr>
                    <w:spacing w:line="260" w:lineRule="exact"/>
                    <w:contextualSpacing/>
                    <w:jc w:val="center"/>
                    <w:rPr>
                      <w:color w:val="000000"/>
                      <w:szCs w:val="21"/>
                    </w:rPr>
                  </w:pPr>
                  <w:r>
                    <w:rPr>
                      <w:rFonts w:hint="eastAsia"/>
                      <w:color w:val="000000"/>
                      <w:szCs w:val="21"/>
                    </w:rPr>
                    <w:t>合计</w:t>
                  </w:r>
                </w:p>
              </w:tc>
              <w:tc>
                <w:tcPr>
                  <w:tcW w:w="1165" w:type="dxa"/>
                  <w:vAlign w:val="center"/>
                </w:tcPr>
                <w:p>
                  <w:pPr>
                    <w:spacing w:line="260" w:lineRule="exact"/>
                    <w:contextualSpacing/>
                    <w:jc w:val="center"/>
                    <w:rPr>
                      <w:rFonts w:hint="eastAsia" w:eastAsia="宋体"/>
                      <w:color w:val="000000"/>
                      <w:szCs w:val="21"/>
                      <w:lang w:val="en-US" w:eastAsia="zh-CN"/>
                    </w:rPr>
                  </w:pPr>
                  <w:r>
                    <w:rPr>
                      <w:rFonts w:hint="eastAsia"/>
                      <w:color w:val="000000"/>
                      <w:szCs w:val="21"/>
                      <w:lang w:val="en-US" w:eastAsia="zh-CN"/>
                    </w:rPr>
                    <w:t>162.5</w:t>
                  </w:r>
                </w:p>
              </w:tc>
            </w:tr>
          </w:tbl>
          <w:p>
            <w:pPr>
              <w:spacing w:line="500" w:lineRule="exact"/>
              <w:ind w:firstLine="482" w:firstLineChars="200"/>
              <w:rPr>
                <w:b/>
                <w:sz w:val="24"/>
              </w:rPr>
            </w:pPr>
            <w:r>
              <w:rPr>
                <w:rFonts w:hint="eastAsia"/>
                <w:b/>
                <w:sz w:val="24"/>
                <w:lang w:val="en-US" w:eastAsia="zh-CN"/>
              </w:rPr>
              <w:t>10</w:t>
            </w:r>
            <w:r>
              <w:rPr>
                <w:rFonts w:hint="eastAsia"/>
                <w:b/>
                <w:sz w:val="24"/>
              </w:rPr>
              <w:t xml:space="preserve"> </w:t>
            </w:r>
            <w:r>
              <w:rPr>
                <w:b/>
                <w:sz w:val="24"/>
              </w:rPr>
              <w:t>环保验收内容</w:t>
            </w:r>
          </w:p>
          <w:p>
            <w:pPr>
              <w:spacing w:line="500" w:lineRule="exact"/>
              <w:ind w:firstLine="480" w:firstLineChars="200"/>
              <w:rPr>
                <w:sz w:val="24"/>
              </w:rPr>
            </w:pPr>
            <w:r>
              <w:rPr>
                <w:sz w:val="24"/>
              </w:rPr>
              <w:t>本项目环保设施竣工验收一览表见表</w:t>
            </w:r>
            <w:r>
              <w:rPr>
                <w:rFonts w:hint="eastAsia"/>
                <w:sz w:val="24"/>
              </w:rPr>
              <w:t>4-</w:t>
            </w:r>
            <w:r>
              <w:rPr>
                <w:rFonts w:hint="eastAsia"/>
                <w:sz w:val="24"/>
                <w:lang w:val="en-US" w:eastAsia="zh-CN"/>
              </w:rPr>
              <w:t>29</w:t>
            </w:r>
            <w:r>
              <w:rPr>
                <w:sz w:val="24"/>
              </w:rPr>
              <w:t>。</w:t>
            </w:r>
          </w:p>
          <w:p>
            <w:pPr>
              <w:adjustRightInd w:val="0"/>
              <w:snapToGrid w:val="0"/>
              <w:spacing w:line="500" w:lineRule="exact"/>
              <w:jc w:val="center"/>
              <w:rPr>
                <w:b/>
                <w:sz w:val="24"/>
                <w:szCs w:val="24"/>
              </w:rPr>
            </w:pPr>
            <w:r>
              <w:rPr>
                <w:rFonts w:hint="eastAsia"/>
                <w:b/>
                <w:sz w:val="24"/>
                <w:szCs w:val="24"/>
              </w:rPr>
              <w:t>表4-2</w:t>
            </w:r>
            <w:r>
              <w:rPr>
                <w:rFonts w:hint="eastAsia"/>
                <w:b/>
                <w:sz w:val="24"/>
                <w:szCs w:val="24"/>
                <w:lang w:val="en-US" w:eastAsia="zh-CN"/>
              </w:rPr>
              <w:t>9</w:t>
            </w:r>
            <w:r>
              <w:rPr>
                <w:rFonts w:hint="eastAsia"/>
                <w:b/>
                <w:sz w:val="24"/>
                <w:szCs w:val="24"/>
              </w:rPr>
              <w:t xml:space="preserve">    本项目环保设施验收一览表</w:t>
            </w:r>
          </w:p>
          <w:tbl>
            <w:tblPr>
              <w:tblStyle w:val="26"/>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675"/>
              <w:gridCol w:w="1060"/>
              <w:gridCol w:w="1952"/>
              <w:gridCol w:w="1558"/>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Align w:val="center"/>
                </w:tcPr>
                <w:p>
                  <w:pPr>
                    <w:contextualSpacing/>
                    <w:jc w:val="center"/>
                    <w:rPr>
                      <w:b/>
                      <w:bCs/>
                      <w:color w:val="000000"/>
                      <w:szCs w:val="21"/>
                    </w:rPr>
                  </w:pPr>
                  <w:r>
                    <w:rPr>
                      <w:b/>
                      <w:bCs/>
                      <w:color w:val="000000"/>
                      <w:szCs w:val="21"/>
                    </w:rPr>
                    <w:t>序号</w:t>
                  </w:r>
                </w:p>
              </w:tc>
              <w:tc>
                <w:tcPr>
                  <w:tcW w:w="675" w:type="dxa"/>
                  <w:vAlign w:val="center"/>
                </w:tcPr>
                <w:p>
                  <w:pPr>
                    <w:contextualSpacing/>
                    <w:jc w:val="center"/>
                    <w:rPr>
                      <w:b/>
                      <w:bCs/>
                      <w:color w:val="000000"/>
                      <w:szCs w:val="21"/>
                    </w:rPr>
                  </w:pPr>
                  <w:r>
                    <w:rPr>
                      <w:b/>
                      <w:bCs/>
                      <w:color w:val="000000"/>
                      <w:szCs w:val="21"/>
                    </w:rPr>
                    <w:t>项目</w:t>
                  </w:r>
                </w:p>
              </w:tc>
              <w:tc>
                <w:tcPr>
                  <w:tcW w:w="1060" w:type="dxa"/>
                  <w:vAlign w:val="center"/>
                </w:tcPr>
                <w:p>
                  <w:pPr>
                    <w:contextualSpacing/>
                    <w:jc w:val="center"/>
                    <w:rPr>
                      <w:b/>
                      <w:bCs/>
                      <w:color w:val="000000"/>
                      <w:szCs w:val="21"/>
                    </w:rPr>
                  </w:pPr>
                  <w:r>
                    <w:rPr>
                      <w:rFonts w:hint="eastAsia"/>
                      <w:b/>
                      <w:bCs/>
                      <w:color w:val="000000"/>
                      <w:szCs w:val="21"/>
                    </w:rPr>
                    <w:t>污染源</w:t>
                  </w:r>
                </w:p>
              </w:tc>
              <w:tc>
                <w:tcPr>
                  <w:tcW w:w="3510" w:type="dxa"/>
                  <w:gridSpan w:val="2"/>
                  <w:vAlign w:val="center"/>
                </w:tcPr>
                <w:p>
                  <w:pPr>
                    <w:contextualSpacing/>
                    <w:jc w:val="center"/>
                    <w:rPr>
                      <w:b/>
                      <w:bCs/>
                      <w:color w:val="000000"/>
                      <w:szCs w:val="21"/>
                    </w:rPr>
                  </w:pPr>
                  <w:r>
                    <w:rPr>
                      <w:b/>
                      <w:bCs/>
                      <w:color w:val="000000"/>
                      <w:szCs w:val="21"/>
                    </w:rPr>
                    <w:t>治理措施</w:t>
                  </w:r>
                </w:p>
              </w:tc>
              <w:tc>
                <w:tcPr>
                  <w:tcW w:w="2009" w:type="dxa"/>
                  <w:vAlign w:val="center"/>
                </w:tcPr>
                <w:p>
                  <w:pPr>
                    <w:contextualSpacing/>
                    <w:jc w:val="center"/>
                    <w:rPr>
                      <w:b/>
                      <w:bCs/>
                      <w:color w:val="000000"/>
                      <w:szCs w:val="21"/>
                    </w:rPr>
                  </w:pPr>
                  <w:r>
                    <w:rPr>
                      <w:b/>
                      <w:bCs/>
                      <w:color w:val="000000"/>
                      <w:szCs w:val="21"/>
                    </w:rPr>
                    <w:t>环保验收指标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restart"/>
                  <w:vAlign w:val="center"/>
                </w:tcPr>
                <w:p>
                  <w:pPr>
                    <w:contextualSpacing/>
                    <w:jc w:val="center"/>
                    <w:rPr>
                      <w:color w:val="000000"/>
                      <w:szCs w:val="21"/>
                    </w:rPr>
                  </w:pPr>
                  <w:r>
                    <w:rPr>
                      <w:rFonts w:hint="eastAsia"/>
                      <w:color w:val="000000"/>
                      <w:szCs w:val="21"/>
                    </w:rPr>
                    <w:t>1</w:t>
                  </w:r>
                </w:p>
              </w:tc>
              <w:tc>
                <w:tcPr>
                  <w:tcW w:w="675" w:type="dxa"/>
                  <w:vMerge w:val="restart"/>
                  <w:vAlign w:val="center"/>
                </w:tcPr>
                <w:p>
                  <w:pPr>
                    <w:contextualSpacing/>
                    <w:jc w:val="center"/>
                    <w:rPr>
                      <w:color w:val="000000"/>
                      <w:szCs w:val="21"/>
                    </w:rPr>
                  </w:pPr>
                  <w:r>
                    <w:rPr>
                      <w:rFonts w:hint="eastAsia"/>
                      <w:color w:val="000000"/>
                      <w:szCs w:val="21"/>
                    </w:rPr>
                    <w:t>废气</w:t>
                  </w:r>
                </w:p>
              </w:tc>
              <w:tc>
                <w:tcPr>
                  <w:tcW w:w="1060" w:type="dxa"/>
                  <w:vAlign w:val="center"/>
                </w:tcPr>
                <w:p>
                  <w:pPr>
                    <w:contextualSpacing/>
                    <w:jc w:val="center"/>
                    <w:rPr>
                      <w:b/>
                      <w:bCs/>
                      <w:color w:val="000000"/>
                      <w:szCs w:val="21"/>
                    </w:rPr>
                  </w:pPr>
                  <w:r>
                    <w:rPr>
                      <w:rFonts w:hint="eastAsia"/>
                      <w:color w:val="000000"/>
                      <w:szCs w:val="21"/>
                    </w:rPr>
                    <w:t>原料库</w:t>
                  </w:r>
                </w:p>
              </w:tc>
              <w:tc>
                <w:tcPr>
                  <w:tcW w:w="3510" w:type="dxa"/>
                  <w:gridSpan w:val="2"/>
                  <w:vAlign w:val="center"/>
                </w:tcPr>
                <w:p>
                  <w:pPr>
                    <w:contextualSpacing/>
                    <w:jc w:val="left"/>
                    <w:rPr>
                      <w:b/>
                      <w:bCs/>
                      <w:color w:val="000000"/>
                      <w:szCs w:val="21"/>
                    </w:rPr>
                  </w:pPr>
                  <w:r>
                    <w:rPr>
                      <w:rFonts w:hint="eastAsia"/>
                      <w:color w:val="000000"/>
                      <w:szCs w:val="21"/>
                    </w:rPr>
                    <w:t>全密封原料库，上方设置喷干雾抑尘装置覆盖全部堆场，装卸作业在封闭原料库内进行；料库四面密闭，通道口安装卷帘门；</w:t>
                  </w:r>
                  <w:r>
                    <w:rPr>
                      <w:rFonts w:hint="eastAsia"/>
                      <w:b/>
                      <w:bCs/>
                      <w:color w:val="000000"/>
                      <w:szCs w:val="21"/>
                      <w:u w:val="single"/>
                    </w:rPr>
                    <w:t>所有地面均硬化。</w:t>
                  </w:r>
                </w:p>
              </w:tc>
              <w:tc>
                <w:tcPr>
                  <w:tcW w:w="2009" w:type="dxa"/>
                  <w:vMerge w:val="restart"/>
                  <w:vAlign w:val="center"/>
                </w:tcPr>
                <w:p>
                  <w:pPr>
                    <w:contextualSpacing/>
                    <w:jc w:val="center"/>
                    <w:rPr>
                      <w:color w:val="000000"/>
                      <w:szCs w:val="21"/>
                    </w:rPr>
                  </w:pPr>
                  <w:r>
                    <w:rPr>
                      <w:rFonts w:hint="eastAsia"/>
                    </w:rPr>
                    <w:t>《大气污染物综合排放标准》（GB16297-1996）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jc w:val="center"/>
                    <w:rPr>
                      <w:color w:val="000000"/>
                      <w:szCs w:val="21"/>
                    </w:rPr>
                  </w:pPr>
                  <w:r>
                    <w:rPr>
                      <w:rFonts w:hint="eastAsia"/>
                      <w:color w:val="000000"/>
                      <w:szCs w:val="21"/>
                    </w:rPr>
                    <w:t>上料仓</w:t>
                  </w:r>
                </w:p>
              </w:tc>
              <w:tc>
                <w:tcPr>
                  <w:tcW w:w="1952" w:type="dxa"/>
                  <w:vAlign w:val="center"/>
                </w:tcPr>
                <w:p>
                  <w:pPr>
                    <w:jc w:val="center"/>
                    <w:rPr>
                      <w:color w:val="000000"/>
                      <w:szCs w:val="21"/>
                    </w:rPr>
                  </w:pPr>
                  <w:r>
                    <w:rPr>
                      <w:rFonts w:hint="eastAsia"/>
                      <w:color w:val="000000"/>
                      <w:szCs w:val="21"/>
                      <w:lang w:val="en-US" w:eastAsia="zh-CN"/>
                    </w:rPr>
                    <w:t>2个</w:t>
                  </w:r>
                  <w:r>
                    <w:rPr>
                      <w:rFonts w:hint="eastAsia"/>
                      <w:color w:val="000000"/>
                      <w:szCs w:val="21"/>
                    </w:rPr>
                    <w:t>集气罩+</w:t>
                  </w:r>
                  <w:r>
                    <w:rPr>
                      <w:color w:val="000000"/>
                      <w:szCs w:val="21"/>
                    </w:rPr>
                    <w:t>1</w:t>
                  </w:r>
                  <w:r>
                    <w:rPr>
                      <w:rFonts w:hint="eastAsia"/>
                      <w:color w:val="000000"/>
                      <w:szCs w:val="21"/>
                      <w:lang w:val="en-US" w:eastAsia="zh-CN"/>
                    </w:rPr>
                    <w:t>套</w:t>
                  </w:r>
                  <w:r>
                    <w:rPr>
                      <w:rFonts w:hint="eastAsia"/>
                      <w:color w:val="000000"/>
                      <w:szCs w:val="21"/>
                    </w:rPr>
                    <w:t>袋式除尘器（1#）</w:t>
                  </w:r>
                </w:p>
              </w:tc>
              <w:tc>
                <w:tcPr>
                  <w:tcW w:w="1558" w:type="dxa"/>
                  <w:vMerge w:val="restart"/>
                  <w:vAlign w:val="center"/>
                </w:tcPr>
                <w:p>
                  <w:pPr>
                    <w:jc w:val="center"/>
                    <w:rPr>
                      <w:rFonts w:hint="eastAsia" w:eastAsia="宋体"/>
                      <w:color w:val="000000"/>
                      <w:szCs w:val="21"/>
                      <w:lang w:val="en-US" w:eastAsia="zh-CN"/>
                    </w:rPr>
                  </w:pPr>
                  <w:r>
                    <w:rPr>
                      <w:color w:val="000000"/>
                      <w:szCs w:val="21"/>
                    </w:rPr>
                    <w:t>1</w:t>
                  </w:r>
                  <w:r>
                    <w:rPr>
                      <w:rFonts w:hint="eastAsia"/>
                      <w:color w:val="000000"/>
                      <w:szCs w:val="21"/>
                    </w:rPr>
                    <w:t>根</w:t>
                  </w:r>
                  <w:r>
                    <w:rPr>
                      <w:color w:val="000000"/>
                      <w:szCs w:val="21"/>
                    </w:rPr>
                    <w:t>15m</w:t>
                  </w:r>
                  <w:r>
                    <w:rPr>
                      <w:rFonts w:hint="eastAsia"/>
                      <w:color w:val="000000"/>
                      <w:szCs w:val="21"/>
                    </w:rPr>
                    <w:t>高排气筒（DA001）</w:t>
                  </w:r>
                  <w:r>
                    <w:rPr>
                      <w:rFonts w:hint="eastAsia"/>
                      <w:color w:val="000000"/>
                      <w:szCs w:val="21"/>
                      <w:lang w:val="en-US" w:eastAsia="zh-CN"/>
                    </w:rPr>
                    <w:t>排放</w:t>
                  </w:r>
                </w:p>
              </w:tc>
              <w:tc>
                <w:tcPr>
                  <w:tcW w:w="2009" w:type="dxa"/>
                  <w:vMerge w:val="continue"/>
                  <w:vAlign w:val="center"/>
                </w:tcPr>
                <w:p>
                  <w:pPr>
                    <w:contextualSpacing/>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jc w:val="center"/>
                    <w:rPr>
                      <w:color w:val="000000"/>
                      <w:szCs w:val="21"/>
                    </w:rPr>
                  </w:pPr>
                  <w:r>
                    <w:rPr>
                      <w:rFonts w:hint="eastAsia"/>
                      <w:color w:val="000000"/>
                      <w:szCs w:val="21"/>
                    </w:rPr>
                    <w:t>破碎机</w:t>
                  </w:r>
                </w:p>
              </w:tc>
              <w:tc>
                <w:tcPr>
                  <w:tcW w:w="1952" w:type="dxa"/>
                  <w:vAlign w:val="center"/>
                </w:tcPr>
                <w:p>
                  <w:pPr>
                    <w:jc w:val="center"/>
                    <w:rPr>
                      <w:color w:val="000000"/>
                      <w:szCs w:val="21"/>
                    </w:rPr>
                  </w:pPr>
                  <w:r>
                    <w:rPr>
                      <w:rFonts w:hint="eastAsia"/>
                      <w:color w:val="000000"/>
                      <w:szCs w:val="21"/>
                      <w:lang w:val="en-US" w:eastAsia="zh-CN"/>
                    </w:rPr>
                    <w:t>1个</w:t>
                  </w:r>
                  <w:r>
                    <w:rPr>
                      <w:rFonts w:hint="eastAsia"/>
                      <w:color w:val="000000"/>
                      <w:szCs w:val="21"/>
                    </w:rPr>
                    <w:t>集气罩+</w:t>
                  </w:r>
                  <w:r>
                    <w:rPr>
                      <w:color w:val="000000"/>
                      <w:szCs w:val="21"/>
                    </w:rPr>
                    <w:t>1</w:t>
                  </w:r>
                  <w:r>
                    <w:rPr>
                      <w:rFonts w:hint="eastAsia"/>
                      <w:color w:val="000000"/>
                      <w:szCs w:val="21"/>
                      <w:lang w:val="en-US" w:eastAsia="zh-CN"/>
                    </w:rPr>
                    <w:t>套</w:t>
                  </w:r>
                  <w:r>
                    <w:rPr>
                      <w:rFonts w:hint="eastAsia"/>
                      <w:color w:val="000000"/>
                      <w:szCs w:val="21"/>
                    </w:rPr>
                    <w:t>袋式除尘器（2#）</w:t>
                  </w:r>
                </w:p>
              </w:tc>
              <w:tc>
                <w:tcPr>
                  <w:tcW w:w="1558" w:type="dxa"/>
                  <w:vMerge w:val="continue"/>
                  <w:vAlign w:val="center"/>
                </w:tcPr>
                <w:p>
                  <w:pPr>
                    <w:jc w:val="center"/>
                    <w:rPr>
                      <w:color w:val="000000"/>
                      <w:szCs w:val="21"/>
                    </w:rPr>
                  </w:pPr>
                </w:p>
              </w:tc>
              <w:tc>
                <w:tcPr>
                  <w:tcW w:w="2009" w:type="dxa"/>
                  <w:vMerge w:val="continue"/>
                  <w:vAlign w:val="center"/>
                </w:tcPr>
                <w:p>
                  <w:pPr>
                    <w:contextualSpacing/>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jc w:val="center"/>
                    <w:rPr>
                      <w:color w:val="000000"/>
                      <w:szCs w:val="21"/>
                    </w:rPr>
                  </w:pPr>
                  <w:r>
                    <w:rPr>
                      <w:rFonts w:hint="eastAsia"/>
                      <w:color w:val="000000"/>
                      <w:szCs w:val="21"/>
                    </w:rPr>
                    <w:t>烘干机</w:t>
                  </w:r>
                </w:p>
              </w:tc>
              <w:tc>
                <w:tcPr>
                  <w:tcW w:w="3510" w:type="dxa"/>
                  <w:gridSpan w:val="2"/>
                  <w:vAlign w:val="center"/>
                </w:tcPr>
                <w:p>
                  <w:pPr>
                    <w:jc w:val="center"/>
                    <w:rPr>
                      <w:color w:val="000000"/>
                      <w:szCs w:val="21"/>
                    </w:rPr>
                  </w:pPr>
                  <w:r>
                    <w:rPr>
                      <w:rFonts w:hint="eastAsia"/>
                      <w:color w:val="000000"/>
                      <w:szCs w:val="21"/>
                      <w:lang w:val="en-US" w:eastAsia="zh-CN"/>
                    </w:rPr>
                    <w:t>2套旋风除尘器（1#、2#）</w:t>
                  </w:r>
                  <w:r>
                    <w:rPr>
                      <w:rFonts w:hint="eastAsia"/>
                      <w:color w:val="000000"/>
                      <w:szCs w:val="21"/>
                    </w:rPr>
                    <w:t>+2</w:t>
                  </w:r>
                  <w:r>
                    <w:rPr>
                      <w:rFonts w:hint="eastAsia"/>
                      <w:color w:val="000000"/>
                      <w:szCs w:val="21"/>
                      <w:lang w:val="en-US" w:eastAsia="zh-CN"/>
                    </w:rPr>
                    <w:t>套</w:t>
                  </w:r>
                  <w:r>
                    <w:rPr>
                      <w:rFonts w:hint="eastAsia"/>
                      <w:color w:val="000000"/>
                      <w:szCs w:val="21"/>
                    </w:rPr>
                    <w:t>袋式除尘器（3#、4#）+1根15m高排气筒（DA002）</w:t>
                  </w:r>
                </w:p>
              </w:tc>
              <w:tc>
                <w:tcPr>
                  <w:tcW w:w="2009" w:type="dxa"/>
                  <w:vAlign w:val="center"/>
                </w:tcPr>
                <w:p>
                  <w:pPr>
                    <w:contextualSpacing/>
                    <w:jc w:val="center"/>
                    <w:rPr>
                      <w:color w:val="000000"/>
                      <w:szCs w:val="21"/>
                    </w:rPr>
                  </w:pPr>
                  <w:r>
                    <w:rPr>
                      <w:rFonts w:hint="eastAsia"/>
                      <w:color w:val="000000"/>
                      <w:szCs w:val="21"/>
                    </w:rPr>
                    <w:t>《</w:t>
                  </w:r>
                  <w:r>
                    <w:rPr>
                      <w:rFonts w:hint="eastAsia"/>
                      <w:bCs/>
                      <w:color w:val="000000"/>
                      <w:szCs w:val="21"/>
                    </w:rPr>
                    <w:t>工业炉窑大气污染物排放标准》（</w:t>
                  </w:r>
                  <w:r>
                    <w:rPr>
                      <w:bCs/>
                      <w:color w:val="000000"/>
                      <w:szCs w:val="21"/>
                    </w:rPr>
                    <w:t>DB41/1066-20</w:t>
                  </w:r>
                  <w:r>
                    <w:rPr>
                      <w:rFonts w:hint="eastAsia"/>
                      <w:bCs/>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spacing w:line="260" w:lineRule="exact"/>
                    <w:contextualSpacing/>
                    <w:jc w:val="center"/>
                    <w:rPr>
                      <w:rFonts w:hint="eastAsia"/>
                      <w:color w:val="000000"/>
                      <w:szCs w:val="21"/>
                    </w:rPr>
                  </w:pPr>
                  <w:r>
                    <w:rPr>
                      <w:rFonts w:hint="eastAsia"/>
                      <w:b/>
                      <w:bCs/>
                      <w:color w:val="000000"/>
                      <w:szCs w:val="21"/>
                      <w:u w:val="single"/>
                      <w:lang w:val="en-US" w:eastAsia="zh-CN"/>
                    </w:rPr>
                    <w:t>成品料仓</w:t>
                  </w:r>
                </w:p>
              </w:tc>
              <w:tc>
                <w:tcPr>
                  <w:tcW w:w="1952" w:type="dxa"/>
                  <w:vAlign w:val="center"/>
                </w:tcPr>
                <w:p>
                  <w:pPr>
                    <w:spacing w:line="260" w:lineRule="exact"/>
                    <w:contextualSpacing/>
                    <w:jc w:val="center"/>
                    <w:rPr>
                      <w:rFonts w:hint="eastAsia"/>
                      <w:color w:val="000000"/>
                      <w:szCs w:val="21"/>
                      <w:lang w:val="en-US" w:eastAsia="zh-CN"/>
                    </w:rPr>
                  </w:pPr>
                  <w:r>
                    <w:rPr>
                      <w:rFonts w:hint="eastAsia"/>
                      <w:b/>
                      <w:bCs/>
                      <w:color w:val="000000"/>
                      <w:szCs w:val="21"/>
                      <w:u w:val="single"/>
                      <w:lang w:val="en-US" w:eastAsia="zh-CN"/>
                    </w:rPr>
                    <w:t>每个料仓上方均设置一套袋式除尘器，共3套（5#、6#、7#）</w:t>
                  </w:r>
                </w:p>
              </w:tc>
              <w:tc>
                <w:tcPr>
                  <w:tcW w:w="1558" w:type="dxa"/>
                  <w:vMerge w:val="restart"/>
                  <w:vAlign w:val="center"/>
                </w:tcPr>
                <w:p>
                  <w:pPr>
                    <w:jc w:val="center"/>
                    <w:rPr>
                      <w:rFonts w:hint="eastAsia"/>
                      <w:color w:val="000000"/>
                      <w:szCs w:val="21"/>
                      <w:lang w:val="en-US" w:eastAsia="zh-CN"/>
                    </w:rPr>
                  </w:pPr>
                  <w:r>
                    <w:rPr>
                      <w:rFonts w:hint="eastAsia"/>
                      <w:b/>
                      <w:bCs/>
                      <w:color w:val="000000"/>
                      <w:szCs w:val="21"/>
                      <w:u w:val="single"/>
                      <w:lang w:val="en-US" w:eastAsia="zh-CN"/>
                    </w:rPr>
                    <w:t>一根15m高排气筒（DA003）排放</w:t>
                  </w:r>
                </w:p>
              </w:tc>
              <w:tc>
                <w:tcPr>
                  <w:tcW w:w="2009" w:type="dxa"/>
                  <w:vMerge w:val="restart"/>
                  <w:vAlign w:val="center"/>
                </w:tcPr>
                <w:p>
                  <w:pPr>
                    <w:contextualSpacing/>
                    <w:jc w:val="center"/>
                    <w:rPr>
                      <w:rFonts w:hint="eastAsia"/>
                      <w:color w:val="000000"/>
                      <w:szCs w:val="21"/>
                    </w:rPr>
                  </w:pPr>
                  <w:r>
                    <w:rPr>
                      <w:rFonts w:hint="eastAsia"/>
                    </w:rPr>
                    <w:t>《大气污染物综合排放标准》（GB16297-1996）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spacing w:line="260" w:lineRule="exact"/>
                    <w:contextualSpacing/>
                    <w:jc w:val="center"/>
                    <w:rPr>
                      <w:rFonts w:hint="eastAsia"/>
                      <w:color w:val="000000"/>
                      <w:szCs w:val="21"/>
                    </w:rPr>
                  </w:pPr>
                  <w:r>
                    <w:rPr>
                      <w:rFonts w:hint="eastAsia"/>
                      <w:b/>
                      <w:bCs/>
                      <w:color w:val="000000"/>
                      <w:szCs w:val="21"/>
                      <w:u w:val="single"/>
                      <w:lang w:val="en-US" w:eastAsia="zh-CN"/>
                    </w:rPr>
                    <w:t>包装机</w:t>
                  </w:r>
                </w:p>
              </w:tc>
              <w:tc>
                <w:tcPr>
                  <w:tcW w:w="1952" w:type="dxa"/>
                  <w:vAlign w:val="center"/>
                </w:tcPr>
                <w:p>
                  <w:pPr>
                    <w:spacing w:line="260" w:lineRule="exact"/>
                    <w:contextualSpacing/>
                    <w:jc w:val="center"/>
                    <w:rPr>
                      <w:rFonts w:hint="eastAsia"/>
                      <w:color w:val="000000"/>
                      <w:szCs w:val="21"/>
                      <w:lang w:val="en-US" w:eastAsia="zh-CN"/>
                    </w:rPr>
                  </w:pPr>
                  <w:r>
                    <w:rPr>
                      <w:rFonts w:hint="eastAsia"/>
                      <w:b/>
                      <w:bCs/>
                      <w:color w:val="000000"/>
                      <w:szCs w:val="21"/>
                      <w:u w:val="single"/>
                      <w:lang w:val="en-US" w:eastAsia="zh-CN"/>
                    </w:rPr>
                    <w:t>每台包装机上方均设置一套袋式除尘器，共3套（8#、9#、10#）</w:t>
                  </w:r>
                </w:p>
              </w:tc>
              <w:tc>
                <w:tcPr>
                  <w:tcW w:w="1558" w:type="dxa"/>
                  <w:vMerge w:val="continue"/>
                  <w:vAlign w:val="center"/>
                </w:tcPr>
                <w:p>
                  <w:pPr>
                    <w:jc w:val="center"/>
                    <w:rPr>
                      <w:rFonts w:hint="eastAsia"/>
                      <w:color w:val="000000"/>
                      <w:szCs w:val="21"/>
                      <w:lang w:val="en-US" w:eastAsia="zh-CN"/>
                    </w:rPr>
                  </w:pPr>
                </w:p>
              </w:tc>
              <w:tc>
                <w:tcPr>
                  <w:tcW w:w="2009" w:type="dxa"/>
                  <w:vMerge w:val="continue"/>
                  <w:vAlign w:val="center"/>
                </w:tcPr>
                <w:p>
                  <w:pPr>
                    <w:contextualSpacing/>
                    <w:jc w:val="center"/>
                    <w:rPr>
                      <w:rFonts w:hint="eastAsia"/>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contextualSpacing/>
                    <w:jc w:val="center"/>
                    <w:rPr>
                      <w:color w:val="000000"/>
                      <w:szCs w:val="21"/>
                    </w:rPr>
                  </w:pPr>
                  <w:r>
                    <w:rPr>
                      <w:rFonts w:hint="eastAsia"/>
                      <w:color w:val="000000"/>
                      <w:szCs w:val="21"/>
                    </w:rPr>
                    <w:t>食堂油烟</w:t>
                  </w:r>
                </w:p>
              </w:tc>
              <w:tc>
                <w:tcPr>
                  <w:tcW w:w="3510" w:type="dxa"/>
                  <w:gridSpan w:val="2"/>
                  <w:vAlign w:val="center"/>
                </w:tcPr>
                <w:p>
                  <w:pPr>
                    <w:contextualSpacing/>
                    <w:jc w:val="center"/>
                    <w:rPr>
                      <w:color w:val="000000"/>
                      <w:szCs w:val="21"/>
                    </w:rPr>
                  </w:pPr>
                  <w:r>
                    <w:rPr>
                      <w:rFonts w:hint="eastAsia"/>
                      <w:color w:val="000000"/>
                      <w:szCs w:val="21"/>
                    </w:rPr>
                    <w:t>油烟净化器+高于食堂楼顶排气筒</w:t>
                  </w:r>
                </w:p>
              </w:tc>
              <w:tc>
                <w:tcPr>
                  <w:tcW w:w="2009" w:type="dxa"/>
                  <w:vAlign w:val="center"/>
                </w:tcPr>
                <w:p>
                  <w:pPr>
                    <w:contextualSpacing/>
                    <w:jc w:val="center"/>
                    <w:rPr>
                      <w:bCs/>
                      <w:color w:val="000000"/>
                      <w:szCs w:val="21"/>
                    </w:rPr>
                  </w:pPr>
                  <w:r>
                    <w:rPr>
                      <w:color w:val="000000"/>
                      <w:szCs w:val="21"/>
                    </w:rPr>
                    <w:t>《餐饮业油烟污染物排放标准》</w:t>
                  </w:r>
                  <w:r>
                    <w:rPr>
                      <w:rFonts w:hint="eastAsia"/>
                      <w:color w:val="000000"/>
                      <w:szCs w:val="21"/>
                    </w:rPr>
                    <w:t>（</w:t>
                  </w:r>
                  <w:r>
                    <w:rPr>
                      <w:color w:val="000000"/>
                      <w:szCs w:val="21"/>
                    </w:rPr>
                    <w:t>DB41/1604-2018</w:t>
                  </w:r>
                  <w:r>
                    <w:rPr>
                      <w:rFonts w:hint="eastAsia"/>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restart"/>
                  <w:vAlign w:val="center"/>
                </w:tcPr>
                <w:p>
                  <w:pPr>
                    <w:contextualSpacing/>
                    <w:jc w:val="center"/>
                    <w:rPr>
                      <w:color w:val="000000"/>
                      <w:szCs w:val="21"/>
                    </w:rPr>
                  </w:pPr>
                  <w:r>
                    <w:rPr>
                      <w:rFonts w:hint="eastAsia"/>
                      <w:color w:val="000000"/>
                      <w:szCs w:val="21"/>
                    </w:rPr>
                    <w:t>2</w:t>
                  </w:r>
                </w:p>
              </w:tc>
              <w:tc>
                <w:tcPr>
                  <w:tcW w:w="675" w:type="dxa"/>
                  <w:vMerge w:val="restart"/>
                  <w:vAlign w:val="center"/>
                </w:tcPr>
                <w:p>
                  <w:pPr>
                    <w:contextualSpacing/>
                    <w:jc w:val="center"/>
                    <w:rPr>
                      <w:color w:val="000000"/>
                      <w:szCs w:val="21"/>
                    </w:rPr>
                  </w:pPr>
                  <w:r>
                    <w:rPr>
                      <w:rFonts w:hint="eastAsia"/>
                      <w:color w:val="000000"/>
                      <w:szCs w:val="21"/>
                    </w:rPr>
                    <w:t>废水</w:t>
                  </w:r>
                </w:p>
              </w:tc>
              <w:tc>
                <w:tcPr>
                  <w:tcW w:w="1060" w:type="dxa"/>
                  <w:vAlign w:val="center"/>
                </w:tcPr>
                <w:p>
                  <w:pPr>
                    <w:contextualSpacing/>
                    <w:jc w:val="center"/>
                    <w:rPr>
                      <w:color w:val="000000"/>
                      <w:szCs w:val="21"/>
                    </w:rPr>
                  </w:pPr>
                  <w:r>
                    <w:rPr>
                      <w:rFonts w:hint="eastAsia"/>
                      <w:color w:val="000000"/>
                      <w:szCs w:val="21"/>
                    </w:rPr>
                    <w:t>生活污水</w:t>
                  </w:r>
                </w:p>
              </w:tc>
              <w:tc>
                <w:tcPr>
                  <w:tcW w:w="3510" w:type="dxa"/>
                  <w:gridSpan w:val="2"/>
                  <w:vAlign w:val="center"/>
                </w:tcPr>
                <w:p>
                  <w:pPr>
                    <w:contextualSpacing/>
                    <w:jc w:val="center"/>
                    <w:rPr>
                      <w:color w:val="000000"/>
                      <w:szCs w:val="21"/>
                    </w:rPr>
                  </w:pPr>
                  <w:r>
                    <w:rPr>
                      <w:rFonts w:hint="eastAsia"/>
                      <w:color w:val="000000"/>
                      <w:szCs w:val="21"/>
                    </w:rPr>
                    <w:t>隔油池（2m</w:t>
                  </w:r>
                  <w:r>
                    <w:rPr>
                      <w:rFonts w:hint="eastAsia"/>
                      <w:color w:val="000000"/>
                      <w:szCs w:val="21"/>
                      <w:vertAlign w:val="superscript"/>
                    </w:rPr>
                    <w:t>3</w:t>
                  </w:r>
                  <w:r>
                    <w:rPr>
                      <w:rFonts w:hint="eastAsia"/>
                      <w:color w:val="000000"/>
                      <w:szCs w:val="21"/>
                    </w:rPr>
                    <w:t>）+一个容积12m</w:t>
                  </w:r>
                  <w:r>
                    <w:rPr>
                      <w:rFonts w:hint="eastAsia"/>
                      <w:color w:val="000000"/>
                      <w:szCs w:val="21"/>
                      <w:vertAlign w:val="superscript"/>
                    </w:rPr>
                    <w:t>3</w:t>
                  </w:r>
                  <w:r>
                    <w:rPr>
                      <w:rFonts w:hint="eastAsia"/>
                      <w:color w:val="000000"/>
                      <w:szCs w:val="21"/>
                    </w:rPr>
                    <w:t>的化粪池</w:t>
                  </w:r>
                </w:p>
              </w:tc>
              <w:tc>
                <w:tcPr>
                  <w:tcW w:w="2009" w:type="dxa"/>
                  <w:vAlign w:val="center"/>
                </w:tcPr>
                <w:p>
                  <w:pPr>
                    <w:contextualSpacing/>
                    <w:jc w:val="center"/>
                    <w:rPr>
                      <w:rFonts w:hint="eastAsia" w:eastAsia="宋体"/>
                      <w:color w:val="000000"/>
                      <w:szCs w:val="21"/>
                      <w:lang w:val="en-US" w:eastAsia="zh-CN"/>
                    </w:rPr>
                  </w:pPr>
                  <w:r>
                    <w:rPr>
                      <w:rFonts w:hint="eastAsia"/>
                      <w:color w:val="000000"/>
                      <w:szCs w:val="21"/>
                      <w:lang w:val="en-US" w:eastAsia="zh-CN"/>
                    </w:rPr>
                    <w:t>运至</w:t>
                  </w:r>
                  <w:r>
                    <w:rPr>
                      <w:rFonts w:hint="eastAsia"/>
                      <w:color w:val="000000"/>
                      <w:szCs w:val="21"/>
                    </w:rPr>
                    <w:t>集聚区污水处理厂</w:t>
                  </w:r>
                  <w:r>
                    <w:rPr>
                      <w:rFonts w:hint="eastAsia"/>
                      <w:color w:val="000000"/>
                      <w:szCs w:val="21"/>
                      <w:lang w:val="en-US" w:eastAsia="zh-CN"/>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rFonts w:hint="eastAsia"/>
                      <w:color w:val="000000"/>
                      <w:szCs w:val="21"/>
                    </w:rPr>
                  </w:pPr>
                </w:p>
              </w:tc>
              <w:tc>
                <w:tcPr>
                  <w:tcW w:w="675" w:type="dxa"/>
                  <w:vMerge w:val="continue"/>
                  <w:vAlign w:val="center"/>
                </w:tcPr>
                <w:p>
                  <w:pPr>
                    <w:contextualSpacing/>
                    <w:jc w:val="center"/>
                    <w:rPr>
                      <w:rFonts w:hint="eastAsia"/>
                      <w:color w:val="000000"/>
                      <w:szCs w:val="21"/>
                    </w:rPr>
                  </w:pPr>
                </w:p>
              </w:tc>
              <w:tc>
                <w:tcPr>
                  <w:tcW w:w="1060" w:type="dxa"/>
                  <w:vAlign w:val="center"/>
                </w:tcPr>
                <w:p>
                  <w:pPr>
                    <w:spacing w:line="260" w:lineRule="exact"/>
                    <w:contextualSpacing/>
                    <w:jc w:val="center"/>
                    <w:rPr>
                      <w:rFonts w:hint="eastAsia"/>
                      <w:color w:val="000000"/>
                      <w:szCs w:val="21"/>
                    </w:rPr>
                  </w:pPr>
                  <w:r>
                    <w:rPr>
                      <w:rFonts w:hint="eastAsia"/>
                      <w:b/>
                      <w:bCs/>
                      <w:color w:val="000000"/>
                      <w:szCs w:val="21"/>
                      <w:u w:val="single"/>
                      <w:lang w:val="en-US" w:eastAsia="zh-CN"/>
                    </w:rPr>
                    <w:t>生产废水</w:t>
                  </w:r>
                </w:p>
              </w:tc>
              <w:tc>
                <w:tcPr>
                  <w:tcW w:w="3510" w:type="dxa"/>
                  <w:gridSpan w:val="2"/>
                  <w:vAlign w:val="center"/>
                </w:tcPr>
                <w:p>
                  <w:pPr>
                    <w:spacing w:line="260" w:lineRule="exact"/>
                    <w:contextualSpacing/>
                    <w:jc w:val="center"/>
                    <w:rPr>
                      <w:rFonts w:hint="eastAsia"/>
                      <w:color w:val="000000"/>
                      <w:szCs w:val="21"/>
                      <w:lang w:val="en-US"/>
                    </w:rPr>
                  </w:pPr>
                  <w:r>
                    <w:rPr>
                      <w:rFonts w:hint="eastAsia"/>
                      <w:b/>
                      <w:bCs/>
                      <w:color w:val="000000"/>
                      <w:szCs w:val="21"/>
                      <w:u w:val="single"/>
                      <w:lang w:val="en-US" w:eastAsia="zh-CN"/>
                    </w:rPr>
                    <w:t>浓缩罐+储水池</w:t>
                  </w:r>
                </w:p>
              </w:tc>
              <w:tc>
                <w:tcPr>
                  <w:tcW w:w="2009" w:type="dxa"/>
                  <w:vAlign w:val="center"/>
                </w:tcPr>
                <w:p>
                  <w:pPr>
                    <w:contextualSpacing/>
                    <w:jc w:val="center"/>
                    <w:rPr>
                      <w:rFonts w:hint="eastAsia"/>
                      <w:color w:val="000000"/>
                      <w:szCs w:val="21"/>
                      <w:lang w:val="en-US" w:eastAsia="zh-CN"/>
                    </w:rPr>
                  </w:pPr>
                  <w:r>
                    <w:rPr>
                      <w:rFonts w:hint="eastAsia"/>
                      <w:b/>
                      <w:bCs/>
                      <w:color w:val="000000"/>
                      <w:szCs w:val="21"/>
                      <w:u w:val="single"/>
                      <w:lang w:val="en-US" w:eastAsia="zh-CN"/>
                    </w:rPr>
                    <w:t>循环使用不外排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contextualSpacing/>
                    <w:jc w:val="center"/>
                    <w:rPr>
                      <w:color w:val="000000"/>
                      <w:szCs w:val="21"/>
                    </w:rPr>
                  </w:pPr>
                  <w:r>
                    <w:rPr>
                      <w:rFonts w:hint="eastAsia"/>
                      <w:color w:val="000000"/>
                      <w:szCs w:val="21"/>
                    </w:rPr>
                    <w:t>车辆冲洗</w:t>
                  </w:r>
                </w:p>
                <w:p>
                  <w:pPr>
                    <w:contextualSpacing/>
                    <w:jc w:val="center"/>
                    <w:rPr>
                      <w:color w:val="000000"/>
                      <w:szCs w:val="21"/>
                    </w:rPr>
                  </w:pPr>
                  <w:r>
                    <w:rPr>
                      <w:rFonts w:hint="eastAsia"/>
                      <w:color w:val="000000"/>
                      <w:szCs w:val="21"/>
                    </w:rPr>
                    <w:t>废水</w:t>
                  </w:r>
                </w:p>
              </w:tc>
              <w:tc>
                <w:tcPr>
                  <w:tcW w:w="3510" w:type="dxa"/>
                  <w:gridSpan w:val="2"/>
                  <w:vAlign w:val="center"/>
                </w:tcPr>
                <w:p>
                  <w:pPr>
                    <w:contextualSpacing/>
                    <w:jc w:val="center"/>
                    <w:rPr>
                      <w:color w:val="000000"/>
                      <w:szCs w:val="21"/>
                    </w:rPr>
                  </w:pPr>
                  <w:r>
                    <w:rPr>
                      <w:rFonts w:hint="eastAsia"/>
                      <w:color w:val="000000"/>
                      <w:szCs w:val="21"/>
                    </w:rPr>
                    <w:t>洗车平台+容积100m</w:t>
                  </w:r>
                  <w:r>
                    <w:rPr>
                      <w:rFonts w:hint="eastAsia"/>
                      <w:color w:val="000000"/>
                      <w:szCs w:val="21"/>
                      <w:vertAlign w:val="superscript"/>
                    </w:rPr>
                    <w:t>3</w:t>
                  </w:r>
                  <w:r>
                    <w:rPr>
                      <w:rFonts w:hint="eastAsia"/>
                      <w:color w:val="000000"/>
                      <w:szCs w:val="21"/>
                    </w:rPr>
                    <w:t>的沉淀池</w:t>
                  </w:r>
                </w:p>
              </w:tc>
              <w:tc>
                <w:tcPr>
                  <w:tcW w:w="2009" w:type="dxa"/>
                  <w:vAlign w:val="center"/>
                </w:tcPr>
                <w:p>
                  <w:pPr>
                    <w:contextualSpacing/>
                    <w:jc w:val="center"/>
                    <w:rPr>
                      <w:color w:val="000000"/>
                      <w:szCs w:val="21"/>
                    </w:rPr>
                  </w:pPr>
                  <w:r>
                    <w:rPr>
                      <w:rFonts w:hint="eastAsia"/>
                      <w:color w:val="000000"/>
                      <w:szCs w:val="21"/>
                    </w:rPr>
                    <w:t>沉淀后循环使用，</w:t>
                  </w:r>
                </w:p>
                <w:p>
                  <w:pPr>
                    <w:contextualSpacing/>
                    <w:jc w:val="center"/>
                    <w:rPr>
                      <w:color w:val="000000"/>
                      <w:szCs w:val="21"/>
                    </w:rPr>
                  </w:pPr>
                  <w:r>
                    <w:rPr>
                      <w:rFonts w:hint="eastAsia"/>
                      <w:color w:val="000000"/>
                      <w:szCs w:val="21"/>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contextualSpacing/>
                    <w:jc w:val="center"/>
                    <w:rPr>
                      <w:color w:val="000000"/>
                      <w:szCs w:val="21"/>
                    </w:rPr>
                  </w:pPr>
                  <w:r>
                    <w:rPr>
                      <w:rFonts w:hint="eastAsia"/>
                      <w:color w:val="000000"/>
                      <w:szCs w:val="21"/>
                    </w:rPr>
                    <w:t>初期雨水</w:t>
                  </w:r>
                </w:p>
              </w:tc>
              <w:tc>
                <w:tcPr>
                  <w:tcW w:w="3510" w:type="dxa"/>
                  <w:gridSpan w:val="2"/>
                  <w:vAlign w:val="center"/>
                </w:tcPr>
                <w:p>
                  <w:pPr>
                    <w:contextualSpacing/>
                    <w:jc w:val="center"/>
                    <w:rPr>
                      <w:color w:val="000000"/>
                      <w:szCs w:val="21"/>
                    </w:rPr>
                  </w:pPr>
                  <w:r>
                    <w:rPr>
                      <w:rFonts w:hint="eastAsia"/>
                      <w:color w:val="000000"/>
                      <w:szCs w:val="21"/>
                    </w:rPr>
                    <w:t>初期雨水收集池，容积190m</w:t>
                  </w:r>
                  <w:r>
                    <w:rPr>
                      <w:rFonts w:hint="eastAsia"/>
                      <w:color w:val="000000"/>
                      <w:szCs w:val="21"/>
                      <w:vertAlign w:val="superscript"/>
                    </w:rPr>
                    <w:t>3</w:t>
                  </w:r>
                </w:p>
              </w:tc>
              <w:tc>
                <w:tcPr>
                  <w:tcW w:w="2009" w:type="dxa"/>
                  <w:vAlign w:val="center"/>
                </w:tcPr>
                <w:p>
                  <w:pPr>
                    <w:contextualSpacing/>
                    <w:jc w:val="center"/>
                    <w:rPr>
                      <w:color w:val="000000"/>
                      <w:szCs w:val="21"/>
                    </w:rPr>
                  </w:pPr>
                  <w:r>
                    <w:rPr>
                      <w:rFonts w:hint="eastAsia"/>
                      <w:color w:val="000000"/>
                      <w:szCs w:val="21"/>
                    </w:rPr>
                    <w:t>收集沉淀后，用于厂区洒水降尘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Align w:val="center"/>
                </w:tcPr>
                <w:p>
                  <w:pPr>
                    <w:contextualSpacing/>
                    <w:jc w:val="center"/>
                    <w:rPr>
                      <w:color w:val="000000"/>
                      <w:szCs w:val="21"/>
                    </w:rPr>
                  </w:pPr>
                  <w:r>
                    <w:rPr>
                      <w:rFonts w:hint="eastAsia"/>
                      <w:color w:val="000000"/>
                      <w:szCs w:val="21"/>
                    </w:rPr>
                    <w:t>3</w:t>
                  </w:r>
                </w:p>
              </w:tc>
              <w:tc>
                <w:tcPr>
                  <w:tcW w:w="675" w:type="dxa"/>
                  <w:vAlign w:val="center"/>
                </w:tcPr>
                <w:p>
                  <w:pPr>
                    <w:contextualSpacing/>
                    <w:jc w:val="center"/>
                    <w:rPr>
                      <w:color w:val="000000"/>
                      <w:szCs w:val="21"/>
                    </w:rPr>
                  </w:pPr>
                  <w:r>
                    <w:rPr>
                      <w:rFonts w:hint="eastAsia"/>
                      <w:color w:val="000000"/>
                      <w:szCs w:val="21"/>
                    </w:rPr>
                    <w:t>噪声</w:t>
                  </w:r>
                </w:p>
              </w:tc>
              <w:tc>
                <w:tcPr>
                  <w:tcW w:w="1060" w:type="dxa"/>
                  <w:vAlign w:val="center"/>
                </w:tcPr>
                <w:p>
                  <w:pPr>
                    <w:contextualSpacing/>
                    <w:jc w:val="center"/>
                    <w:rPr>
                      <w:color w:val="000000"/>
                      <w:szCs w:val="21"/>
                    </w:rPr>
                  </w:pPr>
                  <w:r>
                    <w:rPr>
                      <w:rFonts w:hint="eastAsia"/>
                      <w:color w:val="000000"/>
                      <w:szCs w:val="21"/>
                    </w:rPr>
                    <w:t>设备噪声</w:t>
                  </w:r>
                </w:p>
              </w:tc>
              <w:tc>
                <w:tcPr>
                  <w:tcW w:w="3510" w:type="dxa"/>
                  <w:gridSpan w:val="2"/>
                  <w:vAlign w:val="center"/>
                </w:tcPr>
                <w:p>
                  <w:pPr>
                    <w:contextualSpacing/>
                    <w:jc w:val="center"/>
                    <w:rPr>
                      <w:color w:val="000000"/>
                      <w:szCs w:val="21"/>
                    </w:rPr>
                  </w:pPr>
                  <w:r>
                    <w:rPr>
                      <w:rFonts w:hint="eastAsia"/>
                      <w:color w:val="000000"/>
                      <w:szCs w:val="21"/>
                    </w:rPr>
                    <w:t>厂房内布置</w:t>
                  </w:r>
                  <w:r>
                    <w:rPr>
                      <w:color w:val="000000"/>
                      <w:szCs w:val="21"/>
                    </w:rPr>
                    <w:t>、减</w:t>
                  </w:r>
                  <w:r>
                    <w:rPr>
                      <w:rFonts w:hint="eastAsia"/>
                      <w:color w:val="000000"/>
                      <w:szCs w:val="21"/>
                    </w:rPr>
                    <w:t>震基础</w:t>
                  </w:r>
                  <w:r>
                    <w:rPr>
                      <w:color w:val="000000"/>
                      <w:szCs w:val="21"/>
                    </w:rPr>
                    <w:t>等措施</w:t>
                  </w:r>
                </w:p>
              </w:tc>
              <w:tc>
                <w:tcPr>
                  <w:tcW w:w="2009" w:type="dxa"/>
                  <w:vAlign w:val="center"/>
                </w:tcPr>
                <w:p>
                  <w:pPr>
                    <w:contextualSpacing/>
                    <w:jc w:val="center"/>
                    <w:rPr>
                      <w:bCs/>
                      <w:color w:val="000000"/>
                      <w:szCs w:val="21"/>
                    </w:rPr>
                  </w:pPr>
                  <w:r>
                    <w:rPr>
                      <w:bCs/>
                      <w:color w:val="000000"/>
                      <w:szCs w:val="21"/>
                    </w:rPr>
                    <w:t>《工业企业厂界环境噪声排放标准》</w:t>
                  </w:r>
                  <w:r>
                    <w:rPr>
                      <w:rFonts w:hint="eastAsia"/>
                      <w:bCs/>
                      <w:color w:val="000000"/>
                      <w:szCs w:val="21"/>
                    </w:rPr>
                    <w:t>（</w:t>
                  </w:r>
                  <w:r>
                    <w:rPr>
                      <w:bCs/>
                      <w:color w:val="000000"/>
                      <w:szCs w:val="21"/>
                    </w:rPr>
                    <w:t>GB12348-2008</w:t>
                  </w:r>
                  <w:r>
                    <w:rPr>
                      <w:rFonts w:hint="eastAsia"/>
                      <w:bCs/>
                      <w:color w:val="000000"/>
                      <w:szCs w:val="21"/>
                    </w:rPr>
                    <w:t>）3</w:t>
                  </w:r>
                  <w:r>
                    <w:rPr>
                      <w:bCs/>
                      <w:color w:val="000000"/>
                      <w:szCs w:val="21"/>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restart"/>
                  <w:vAlign w:val="center"/>
                </w:tcPr>
                <w:p>
                  <w:pPr>
                    <w:contextualSpacing/>
                    <w:jc w:val="center"/>
                    <w:rPr>
                      <w:color w:val="000000"/>
                      <w:szCs w:val="21"/>
                    </w:rPr>
                  </w:pPr>
                  <w:r>
                    <w:rPr>
                      <w:rFonts w:hint="eastAsia"/>
                      <w:color w:val="000000"/>
                      <w:szCs w:val="21"/>
                    </w:rPr>
                    <w:t>4</w:t>
                  </w:r>
                </w:p>
              </w:tc>
              <w:tc>
                <w:tcPr>
                  <w:tcW w:w="675" w:type="dxa"/>
                  <w:vMerge w:val="restart"/>
                  <w:vAlign w:val="center"/>
                </w:tcPr>
                <w:p>
                  <w:pPr>
                    <w:contextualSpacing/>
                    <w:jc w:val="center"/>
                    <w:rPr>
                      <w:color w:val="000000"/>
                      <w:szCs w:val="21"/>
                    </w:rPr>
                  </w:pPr>
                  <w:r>
                    <w:rPr>
                      <w:rFonts w:hint="eastAsia"/>
                      <w:color w:val="000000"/>
                      <w:szCs w:val="21"/>
                    </w:rPr>
                    <w:t>固废</w:t>
                  </w:r>
                </w:p>
              </w:tc>
              <w:tc>
                <w:tcPr>
                  <w:tcW w:w="1060" w:type="dxa"/>
                  <w:vAlign w:val="center"/>
                </w:tcPr>
                <w:p>
                  <w:pPr>
                    <w:contextualSpacing/>
                    <w:jc w:val="center"/>
                    <w:rPr>
                      <w:color w:val="000000"/>
                      <w:szCs w:val="21"/>
                    </w:rPr>
                  </w:pPr>
                  <w:r>
                    <w:rPr>
                      <w:rFonts w:hint="eastAsia"/>
                      <w:color w:val="000000"/>
                      <w:szCs w:val="21"/>
                    </w:rPr>
                    <w:t>生活垃圾</w:t>
                  </w:r>
                </w:p>
              </w:tc>
              <w:tc>
                <w:tcPr>
                  <w:tcW w:w="3510" w:type="dxa"/>
                  <w:gridSpan w:val="2"/>
                  <w:vAlign w:val="center"/>
                </w:tcPr>
                <w:p>
                  <w:pPr>
                    <w:contextualSpacing/>
                    <w:jc w:val="center"/>
                    <w:rPr>
                      <w:color w:val="000000"/>
                      <w:szCs w:val="21"/>
                    </w:rPr>
                  </w:pPr>
                  <w:r>
                    <w:rPr>
                      <w:rFonts w:hint="eastAsia"/>
                      <w:color w:val="000000"/>
                      <w:szCs w:val="21"/>
                    </w:rPr>
                    <w:t>垃圾桶及垃圾箱</w:t>
                  </w:r>
                </w:p>
              </w:tc>
              <w:tc>
                <w:tcPr>
                  <w:tcW w:w="2009" w:type="dxa"/>
                  <w:vMerge w:val="restart"/>
                  <w:vAlign w:val="center"/>
                </w:tcPr>
                <w:p>
                  <w:pPr>
                    <w:contextualSpacing/>
                    <w:jc w:val="center"/>
                    <w:rPr>
                      <w:color w:val="000000"/>
                      <w:szCs w:val="21"/>
                    </w:rPr>
                  </w:pPr>
                  <w:r>
                    <w:rPr>
                      <w:rFonts w:hint="eastAsia"/>
                      <w:color w:val="000000"/>
                      <w:szCs w:val="21"/>
                    </w:rPr>
                    <w:t>妥善处置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Merge w:val="continue"/>
                  <w:vAlign w:val="center"/>
                </w:tcPr>
                <w:p>
                  <w:pPr>
                    <w:contextualSpacing/>
                    <w:jc w:val="center"/>
                    <w:rPr>
                      <w:color w:val="000000"/>
                      <w:szCs w:val="21"/>
                    </w:rPr>
                  </w:pPr>
                </w:p>
              </w:tc>
              <w:tc>
                <w:tcPr>
                  <w:tcW w:w="675" w:type="dxa"/>
                  <w:vMerge w:val="continue"/>
                  <w:vAlign w:val="center"/>
                </w:tcPr>
                <w:p>
                  <w:pPr>
                    <w:contextualSpacing/>
                    <w:jc w:val="center"/>
                    <w:rPr>
                      <w:color w:val="000000"/>
                      <w:szCs w:val="21"/>
                    </w:rPr>
                  </w:pPr>
                </w:p>
              </w:tc>
              <w:tc>
                <w:tcPr>
                  <w:tcW w:w="1060" w:type="dxa"/>
                  <w:vAlign w:val="center"/>
                </w:tcPr>
                <w:p>
                  <w:pPr>
                    <w:contextualSpacing/>
                    <w:jc w:val="center"/>
                  </w:pPr>
                  <w:r>
                    <w:rPr>
                      <w:rFonts w:hint="eastAsia"/>
                    </w:rPr>
                    <w:t>废机油、废润滑油</w:t>
                  </w:r>
                </w:p>
              </w:tc>
              <w:tc>
                <w:tcPr>
                  <w:tcW w:w="3510" w:type="dxa"/>
                  <w:gridSpan w:val="2"/>
                  <w:vAlign w:val="center"/>
                </w:tcPr>
                <w:p>
                  <w:pPr>
                    <w:contextualSpacing/>
                    <w:jc w:val="center"/>
                    <w:rPr>
                      <w:color w:val="000000"/>
                      <w:szCs w:val="21"/>
                    </w:rPr>
                  </w:pPr>
                  <w:r>
                    <w:rPr>
                      <w:rFonts w:hint="eastAsia"/>
                      <w:color w:val="000000"/>
                      <w:szCs w:val="21"/>
                    </w:rPr>
                    <w:t>危险废物收集装置及危险废物固废暂存区10m</w:t>
                  </w:r>
                  <w:r>
                    <w:rPr>
                      <w:rFonts w:hint="eastAsia"/>
                      <w:color w:val="000000"/>
                      <w:szCs w:val="21"/>
                      <w:vertAlign w:val="superscript"/>
                    </w:rPr>
                    <w:t>2</w:t>
                  </w:r>
                </w:p>
              </w:tc>
              <w:tc>
                <w:tcPr>
                  <w:tcW w:w="2009" w:type="dxa"/>
                  <w:vMerge w:val="continue"/>
                  <w:vAlign w:val="center"/>
                </w:tcPr>
                <w:p>
                  <w:pPr>
                    <w:contextualSpacing/>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682" w:type="dxa"/>
                  <w:vAlign w:val="center"/>
                </w:tcPr>
                <w:p>
                  <w:pPr>
                    <w:contextualSpacing/>
                    <w:jc w:val="center"/>
                    <w:rPr>
                      <w:color w:val="000000"/>
                      <w:szCs w:val="21"/>
                    </w:rPr>
                  </w:pPr>
                  <w:r>
                    <w:rPr>
                      <w:rFonts w:hint="eastAsia"/>
                      <w:color w:val="000000"/>
                      <w:szCs w:val="21"/>
                    </w:rPr>
                    <w:t>5</w:t>
                  </w:r>
                </w:p>
              </w:tc>
              <w:tc>
                <w:tcPr>
                  <w:tcW w:w="1735" w:type="dxa"/>
                  <w:gridSpan w:val="2"/>
                  <w:vAlign w:val="center"/>
                </w:tcPr>
                <w:p>
                  <w:pPr>
                    <w:contextualSpacing/>
                    <w:jc w:val="center"/>
                    <w:rPr>
                      <w:color w:val="000000"/>
                      <w:szCs w:val="21"/>
                    </w:rPr>
                  </w:pPr>
                  <w:r>
                    <w:rPr>
                      <w:rFonts w:hint="eastAsia"/>
                      <w:color w:val="000000"/>
                      <w:szCs w:val="21"/>
                    </w:rPr>
                    <w:t>环境风险</w:t>
                  </w:r>
                </w:p>
              </w:tc>
              <w:tc>
                <w:tcPr>
                  <w:tcW w:w="3510" w:type="dxa"/>
                  <w:gridSpan w:val="2"/>
                  <w:vAlign w:val="center"/>
                </w:tcPr>
                <w:p>
                  <w:pPr>
                    <w:contextualSpacing/>
                    <w:jc w:val="center"/>
                    <w:rPr>
                      <w:color w:val="000000"/>
                      <w:szCs w:val="21"/>
                    </w:rPr>
                  </w:pPr>
                  <w:r>
                    <w:rPr>
                      <w:rFonts w:hint="eastAsia"/>
                      <w:color w:val="000000"/>
                      <w:szCs w:val="21"/>
                    </w:rPr>
                    <w:t>设置消防器材、消防废水池（40m</w:t>
                  </w:r>
                  <w:r>
                    <w:rPr>
                      <w:rFonts w:hint="eastAsia"/>
                      <w:color w:val="000000"/>
                      <w:szCs w:val="21"/>
                      <w:vertAlign w:val="superscript"/>
                    </w:rPr>
                    <w:t>3</w:t>
                  </w:r>
                  <w:r>
                    <w:rPr>
                      <w:rFonts w:hint="eastAsia"/>
                      <w:color w:val="000000"/>
                      <w:szCs w:val="21"/>
                    </w:rPr>
                    <w:t>）、防爆电气设备、制定环境风险应急预案</w:t>
                  </w:r>
                </w:p>
              </w:tc>
              <w:tc>
                <w:tcPr>
                  <w:tcW w:w="2009" w:type="dxa"/>
                  <w:vAlign w:val="center"/>
                </w:tcPr>
                <w:p>
                  <w:pPr>
                    <w:contextualSpacing/>
                    <w:jc w:val="center"/>
                    <w:rPr>
                      <w:color w:val="000000"/>
                      <w:szCs w:val="21"/>
                    </w:rPr>
                  </w:pPr>
                  <w:r>
                    <w:rPr>
                      <w:rFonts w:hint="eastAsia"/>
                      <w:color w:val="000000"/>
                      <w:szCs w:val="21"/>
                    </w:rPr>
                    <w:t>按要求配备</w:t>
                  </w:r>
                </w:p>
              </w:tc>
            </w:tr>
          </w:tbl>
          <w:p>
            <w:pPr>
              <w:autoSpaceDE w:val="0"/>
              <w:autoSpaceDN w:val="0"/>
              <w:adjustRightInd w:val="0"/>
              <w:snapToGrid w:val="0"/>
              <w:spacing w:line="40" w:lineRule="atLeast"/>
              <w:jc w:val="left"/>
              <w:rPr>
                <w:sz w:val="24"/>
              </w:rPr>
            </w:pPr>
          </w:p>
        </w:tc>
      </w:tr>
    </w:tbl>
    <w:p>
      <w:pPr>
        <w:adjustRightInd w:val="0"/>
        <w:snapToGrid w:val="0"/>
        <w:spacing w:line="360" w:lineRule="auto"/>
        <w:rPr>
          <w:rFonts w:cs="宋体"/>
          <w:b/>
          <w:kern w:val="0"/>
          <w:sz w:val="28"/>
          <w:szCs w:val="28"/>
        </w:rPr>
        <w:sectPr>
          <w:pgSz w:w="11907" w:h="16840"/>
          <w:pgMar w:top="1701" w:right="1531" w:bottom="2127" w:left="1531" w:header="851" w:footer="851" w:gutter="0"/>
          <w:cols w:space="720" w:num="1"/>
          <w:docGrid w:linePitch="312" w:charSpace="0"/>
        </w:sectPr>
      </w:pPr>
    </w:p>
    <w:p>
      <w:pPr>
        <w:pStyle w:val="21"/>
        <w:jc w:val="center"/>
        <w:outlineLvl w:val="0"/>
        <w:rPr>
          <w:rFonts w:ascii="Times New Roman" w:hAnsi="Times New Roman"/>
          <w:b/>
          <w:bCs/>
          <w:snapToGrid w:val="0"/>
          <w:sz w:val="30"/>
          <w:szCs w:val="30"/>
        </w:rPr>
      </w:pPr>
      <w:r>
        <w:rPr>
          <w:rFonts w:hint="eastAsia" w:ascii="Times New Roman" w:hAnsi="Times New Roman"/>
          <w:b/>
          <w:bCs/>
          <w:snapToGrid w:val="0"/>
          <w:sz w:val="30"/>
          <w:szCs w:val="30"/>
        </w:rPr>
        <w:t>五、</w:t>
      </w:r>
      <w:bookmarkStart w:id="14" w:name="_Hlk54167917"/>
      <w:r>
        <w:rPr>
          <w:rFonts w:hint="eastAsia" w:ascii="Times New Roman" w:hAnsi="Times New Roman"/>
          <w:b/>
          <w:bCs/>
          <w:snapToGrid w:val="0"/>
          <w:sz w:val="30"/>
          <w:szCs w:val="30"/>
        </w:rPr>
        <w:t>环境保护措施监督检查清单</w:t>
      </w:r>
      <w:bookmarkEnd w:id="14"/>
    </w:p>
    <w:tbl>
      <w:tblPr>
        <w:tblStyle w:val="26"/>
        <w:tblW w:w="881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892"/>
        <w:gridCol w:w="1115"/>
        <w:gridCol w:w="863"/>
        <w:gridCol w:w="1473"/>
        <w:gridCol w:w="242"/>
        <w:gridCol w:w="1097"/>
        <w:gridCol w:w="20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tcBorders>
              <w:tl2br w:val="single" w:color="auto" w:sz="4" w:space="0"/>
            </w:tcBorders>
          </w:tcPr>
          <w:p>
            <w:pPr>
              <w:adjustRightInd w:val="0"/>
              <w:snapToGrid w:val="0"/>
              <w:ind w:firstLine="211" w:firstLineChars="100"/>
              <w:rPr>
                <w:rFonts w:cs="宋体"/>
                <w:b/>
                <w:bCs/>
                <w:szCs w:val="21"/>
              </w:rPr>
            </w:pPr>
            <w:r>
              <w:rPr>
                <w:rFonts w:hint="eastAsia" w:cs="宋体"/>
                <w:b/>
                <w:bCs/>
                <w:szCs w:val="21"/>
              </w:rPr>
              <w:t>内容</w:t>
            </w:r>
          </w:p>
          <w:p>
            <w:pPr>
              <w:adjustRightInd w:val="0"/>
              <w:snapToGrid w:val="0"/>
              <w:rPr>
                <w:rFonts w:cs="宋体"/>
                <w:b/>
                <w:bCs/>
                <w:szCs w:val="21"/>
              </w:rPr>
            </w:pPr>
            <w:r>
              <w:rPr>
                <w:rFonts w:hint="eastAsia" w:cs="宋体"/>
                <w:b/>
                <w:bCs/>
                <w:szCs w:val="21"/>
              </w:rPr>
              <w:t>要素</w:t>
            </w:r>
          </w:p>
        </w:tc>
        <w:tc>
          <w:tcPr>
            <w:tcW w:w="2007" w:type="dxa"/>
            <w:gridSpan w:val="2"/>
            <w:vAlign w:val="center"/>
          </w:tcPr>
          <w:p>
            <w:pPr>
              <w:adjustRightInd w:val="0"/>
              <w:snapToGrid w:val="0"/>
              <w:jc w:val="center"/>
              <w:rPr>
                <w:rFonts w:cs="宋体"/>
                <w:b/>
                <w:bCs/>
                <w:szCs w:val="21"/>
              </w:rPr>
            </w:pPr>
            <w:r>
              <w:rPr>
                <w:rFonts w:hint="eastAsia" w:cs="宋体"/>
                <w:b/>
                <w:bCs/>
                <w:szCs w:val="21"/>
              </w:rPr>
              <w:t>排放口(编号、</w:t>
            </w:r>
          </w:p>
          <w:p>
            <w:pPr>
              <w:adjustRightInd w:val="0"/>
              <w:snapToGrid w:val="0"/>
              <w:jc w:val="center"/>
              <w:rPr>
                <w:rFonts w:cs="宋体"/>
                <w:b/>
                <w:bCs/>
                <w:szCs w:val="21"/>
              </w:rPr>
            </w:pPr>
            <w:r>
              <w:rPr>
                <w:rFonts w:hint="eastAsia" w:cs="宋体"/>
                <w:b/>
                <w:bCs/>
                <w:szCs w:val="21"/>
              </w:rPr>
              <w:t>名称)/污染源</w:t>
            </w:r>
          </w:p>
        </w:tc>
        <w:tc>
          <w:tcPr>
            <w:tcW w:w="863" w:type="dxa"/>
            <w:vAlign w:val="center"/>
          </w:tcPr>
          <w:p>
            <w:pPr>
              <w:adjustRightInd w:val="0"/>
              <w:snapToGrid w:val="0"/>
              <w:jc w:val="center"/>
              <w:rPr>
                <w:rFonts w:cs="宋体"/>
                <w:b/>
                <w:bCs/>
                <w:szCs w:val="21"/>
              </w:rPr>
            </w:pPr>
            <w:r>
              <w:rPr>
                <w:rFonts w:hint="eastAsia" w:cs="宋体"/>
                <w:b/>
                <w:bCs/>
                <w:szCs w:val="21"/>
              </w:rPr>
              <w:t>污染物项目</w:t>
            </w:r>
          </w:p>
        </w:tc>
        <w:tc>
          <w:tcPr>
            <w:tcW w:w="2812" w:type="dxa"/>
            <w:gridSpan w:val="3"/>
            <w:vAlign w:val="center"/>
          </w:tcPr>
          <w:p>
            <w:pPr>
              <w:adjustRightInd w:val="0"/>
              <w:snapToGrid w:val="0"/>
              <w:jc w:val="center"/>
              <w:rPr>
                <w:rFonts w:cs="宋体"/>
                <w:b/>
                <w:bCs/>
                <w:szCs w:val="21"/>
              </w:rPr>
            </w:pPr>
            <w:r>
              <w:rPr>
                <w:rFonts w:hint="eastAsia" w:cs="宋体"/>
                <w:b/>
                <w:bCs/>
                <w:szCs w:val="21"/>
              </w:rPr>
              <w:t>环境保护措施</w:t>
            </w:r>
          </w:p>
        </w:tc>
        <w:tc>
          <w:tcPr>
            <w:tcW w:w="2050" w:type="dxa"/>
            <w:vAlign w:val="center"/>
          </w:tcPr>
          <w:p>
            <w:pPr>
              <w:adjustRightInd w:val="0"/>
              <w:snapToGrid w:val="0"/>
              <w:jc w:val="center"/>
              <w:rPr>
                <w:rFonts w:cs="宋体"/>
                <w:b/>
                <w:bCs/>
                <w:szCs w:val="21"/>
              </w:rPr>
            </w:pPr>
            <w:r>
              <w:rPr>
                <w:rFonts w:hint="eastAsia" w:cs="宋体"/>
                <w:b/>
                <w:bCs/>
                <w:szCs w:val="21"/>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restart"/>
            <w:vAlign w:val="center"/>
          </w:tcPr>
          <w:p>
            <w:pPr>
              <w:adjustRightInd w:val="0"/>
              <w:snapToGrid w:val="0"/>
              <w:jc w:val="center"/>
              <w:rPr>
                <w:rFonts w:cs="宋体"/>
                <w:szCs w:val="21"/>
              </w:rPr>
            </w:pPr>
            <w:r>
              <w:rPr>
                <w:rFonts w:hint="eastAsia" w:cs="宋体"/>
                <w:szCs w:val="21"/>
              </w:rPr>
              <w:t>大气</w:t>
            </w:r>
          </w:p>
          <w:p>
            <w:pPr>
              <w:adjustRightInd w:val="0"/>
              <w:snapToGrid w:val="0"/>
              <w:jc w:val="center"/>
              <w:rPr>
                <w:rFonts w:cs="宋体"/>
                <w:szCs w:val="21"/>
              </w:rPr>
            </w:pPr>
            <w:r>
              <w:rPr>
                <w:rFonts w:hint="eastAsia" w:cs="宋体"/>
                <w:szCs w:val="21"/>
              </w:rPr>
              <w:t>环境</w:t>
            </w:r>
          </w:p>
        </w:tc>
        <w:tc>
          <w:tcPr>
            <w:tcW w:w="892" w:type="dxa"/>
            <w:vMerge w:val="restart"/>
            <w:vAlign w:val="center"/>
          </w:tcPr>
          <w:p>
            <w:pPr>
              <w:adjustRightInd w:val="0"/>
              <w:snapToGrid w:val="0"/>
              <w:jc w:val="center"/>
              <w:rPr>
                <w:rFonts w:cs="宋体"/>
                <w:szCs w:val="21"/>
              </w:rPr>
            </w:pPr>
            <w:r>
              <w:rPr>
                <w:rFonts w:hint="eastAsia" w:cs="宋体"/>
                <w:szCs w:val="21"/>
              </w:rPr>
              <w:t>DA001</w:t>
            </w:r>
          </w:p>
        </w:tc>
        <w:tc>
          <w:tcPr>
            <w:tcW w:w="1115" w:type="dxa"/>
            <w:vAlign w:val="center"/>
          </w:tcPr>
          <w:p>
            <w:pPr>
              <w:adjustRightInd w:val="0"/>
              <w:snapToGrid w:val="0"/>
              <w:jc w:val="center"/>
              <w:rPr>
                <w:rFonts w:cs="宋体"/>
                <w:szCs w:val="21"/>
              </w:rPr>
            </w:pPr>
            <w:r>
              <w:rPr>
                <w:rFonts w:hint="eastAsia" w:cs="宋体"/>
                <w:szCs w:val="21"/>
              </w:rPr>
              <w:t>上料仓</w:t>
            </w:r>
          </w:p>
        </w:tc>
        <w:tc>
          <w:tcPr>
            <w:tcW w:w="863" w:type="dxa"/>
            <w:vMerge w:val="restart"/>
            <w:vAlign w:val="center"/>
          </w:tcPr>
          <w:p>
            <w:pPr>
              <w:adjustRightInd w:val="0"/>
              <w:snapToGrid w:val="0"/>
              <w:jc w:val="center"/>
              <w:rPr>
                <w:rFonts w:cs="宋体"/>
                <w:szCs w:val="21"/>
              </w:rPr>
            </w:pPr>
            <w:r>
              <w:rPr>
                <w:rFonts w:hint="eastAsia" w:cs="宋体"/>
                <w:szCs w:val="21"/>
              </w:rPr>
              <w:t>颗粒物</w:t>
            </w:r>
          </w:p>
        </w:tc>
        <w:tc>
          <w:tcPr>
            <w:tcW w:w="1715" w:type="dxa"/>
            <w:gridSpan w:val="2"/>
            <w:vAlign w:val="center"/>
          </w:tcPr>
          <w:p>
            <w:pPr>
              <w:adjustRightInd w:val="0"/>
              <w:snapToGrid w:val="0"/>
              <w:jc w:val="center"/>
              <w:rPr>
                <w:rFonts w:cs="宋体"/>
                <w:szCs w:val="21"/>
              </w:rPr>
            </w:pPr>
            <w:r>
              <w:rPr>
                <w:rFonts w:hint="eastAsia"/>
                <w:szCs w:val="21"/>
                <w:lang w:val="en-US" w:eastAsia="zh-CN"/>
              </w:rPr>
              <w:t>2个</w:t>
            </w:r>
            <w:r>
              <w:rPr>
                <w:rFonts w:hint="eastAsia"/>
                <w:szCs w:val="21"/>
              </w:rPr>
              <w:t>集气罩+1</w:t>
            </w:r>
            <w:r>
              <w:rPr>
                <w:rFonts w:hint="eastAsia"/>
                <w:szCs w:val="21"/>
                <w:lang w:val="en-US" w:eastAsia="zh-CN"/>
              </w:rPr>
              <w:t>套</w:t>
            </w:r>
            <w:r>
              <w:rPr>
                <w:rFonts w:hint="eastAsia"/>
                <w:szCs w:val="21"/>
              </w:rPr>
              <w:t>袋式除尘器（1#）</w:t>
            </w:r>
          </w:p>
        </w:tc>
        <w:tc>
          <w:tcPr>
            <w:tcW w:w="1097" w:type="dxa"/>
            <w:vMerge w:val="restart"/>
            <w:vAlign w:val="center"/>
          </w:tcPr>
          <w:p>
            <w:pPr>
              <w:adjustRightInd w:val="0"/>
              <w:snapToGrid w:val="0"/>
              <w:jc w:val="center"/>
              <w:rPr>
                <w:szCs w:val="21"/>
              </w:rPr>
            </w:pPr>
            <w:r>
              <w:rPr>
                <w:rFonts w:hint="eastAsia"/>
                <w:szCs w:val="21"/>
              </w:rPr>
              <w:t>1根15m高排气筒（DA001）</w:t>
            </w:r>
          </w:p>
        </w:tc>
        <w:tc>
          <w:tcPr>
            <w:tcW w:w="2050" w:type="dxa"/>
            <w:vMerge w:val="restart"/>
            <w:vAlign w:val="center"/>
          </w:tcPr>
          <w:p>
            <w:pPr>
              <w:adjustRightInd w:val="0"/>
              <w:snapToGrid w:val="0"/>
              <w:jc w:val="center"/>
              <w:rPr>
                <w:kern w:val="0"/>
                <w:szCs w:val="21"/>
              </w:rPr>
            </w:pPr>
            <w:r>
              <w:rPr>
                <w:rFonts w:hint="eastAsia"/>
              </w:rPr>
              <w:t>《大气污染物综合排放标准》（GB16297-1996）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892" w:type="dxa"/>
            <w:vMerge w:val="continue"/>
            <w:vAlign w:val="center"/>
          </w:tcPr>
          <w:p>
            <w:pPr>
              <w:adjustRightInd w:val="0"/>
              <w:snapToGrid w:val="0"/>
              <w:jc w:val="center"/>
              <w:rPr>
                <w:rFonts w:cs="宋体"/>
                <w:szCs w:val="21"/>
              </w:rPr>
            </w:pPr>
          </w:p>
        </w:tc>
        <w:tc>
          <w:tcPr>
            <w:tcW w:w="1115" w:type="dxa"/>
            <w:vAlign w:val="center"/>
          </w:tcPr>
          <w:p>
            <w:pPr>
              <w:spacing w:line="330" w:lineRule="exact"/>
              <w:jc w:val="center"/>
              <w:rPr>
                <w:rFonts w:cs="宋体"/>
                <w:szCs w:val="21"/>
              </w:rPr>
            </w:pPr>
            <w:r>
              <w:rPr>
                <w:rFonts w:hint="eastAsia"/>
                <w:color w:val="000000"/>
                <w:szCs w:val="21"/>
              </w:rPr>
              <w:t>破碎机</w:t>
            </w:r>
          </w:p>
        </w:tc>
        <w:tc>
          <w:tcPr>
            <w:tcW w:w="863" w:type="dxa"/>
            <w:vMerge w:val="continue"/>
            <w:vAlign w:val="center"/>
          </w:tcPr>
          <w:p>
            <w:pPr>
              <w:adjustRightInd w:val="0"/>
              <w:snapToGrid w:val="0"/>
              <w:jc w:val="center"/>
              <w:rPr>
                <w:rFonts w:cs="宋体"/>
                <w:szCs w:val="21"/>
              </w:rPr>
            </w:pPr>
          </w:p>
        </w:tc>
        <w:tc>
          <w:tcPr>
            <w:tcW w:w="1715" w:type="dxa"/>
            <w:gridSpan w:val="2"/>
            <w:vAlign w:val="center"/>
          </w:tcPr>
          <w:p>
            <w:pPr>
              <w:adjustRightInd w:val="0"/>
              <w:snapToGrid w:val="0"/>
              <w:jc w:val="center"/>
              <w:rPr>
                <w:szCs w:val="21"/>
              </w:rPr>
            </w:pPr>
            <w:r>
              <w:rPr>
                <w:rFonts w:hint="eastAsia"/>
                <w:szCs w:val="21"/>
                <w:lang w:val="en-US" w:eastAsia="zh-CN"/>
              </w:rPr>
              <w:t>1个</w:t>
            </w:r>
            <w:r>
              <w:rPr>
                <w:rFonts w:hint="eastAsia"/>
                <w:szCs w:val="21"/>
              </w:rPr>
              <w:t>集气罩+1</w:t>
            </w:r>
            <w:r>
              <w:rPr>
                <w:rFonts w:hint="eastAsia"/>
                <w:szCs w:val="21"/>
                <w:lang w:val="en-US" w:eastAsia="zh-CN"/>
              </w:rPr>
              <w:t>套</w:t>
            </w:r>
            <w:r>
              <w:rPr>
                <w:rFonts w:hint="eastAsia"/>
                <w:szCs w:val="21"/>
              </w:rPr>
              <w:t>袋式除尘器（2#）</w:t>
            </w:r>
          </w:p>
        </w:tc>
        <w:tc>
          <w:tcPr>
            <w:tcW w:w="1097" w:type="dxa"/>
            <w:vMerge w:val="continue"/>
            <w:vAlign w:val="center"/>
          </w:tcPr>
          <w:p>
            <w:pPr>
              <w:adjustRightInd w:val="0"/>
              <w:snapToGrid w:val="0"/>
              <w:jc w:val="center"/>
              <w:rPr>
                <w:szCs w:val="21"/>
              </w:rPr>
            </w:pPr>
          </w:p>
        </w:tc>
        <w:tc>
          <w:tcPr>
            <w:tcW w:w="2050" w:type="dxa"/>
            <w:vMerge w:val="continue"/>
            <w:vAlign w:val="center"/>
          </w:tcPr>
          <w:p>
            <w:pPr>
              <w:adjustRightInd w:val="0"/>
              <w:snapToGrid w:val="0"/>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892" w:type="dxa"/>
            <w:vAlign w:val="center"/>
          </w:tcPr>
          <w:p>
            <w:pPr>
              <w:adjustRightInd w:val="0"/>
              <w:snapToGrid w:val="0"/>
              <w:jc w:val="center"/>
              <w:rPr>
                <w:rFonts w:cs="宋体"/>
                <w:szCs w:val="21"/>
              </w:rPr>
            </w:pPr>
            <w:r>
              <w:rPr>
                <w:rFonts w:hint="eastAsia" w:cs="宋体"/>
                <w:szCs w:val="21"/>
              </w:rPr>
              <w:t>DA002</w:t>
            </w:r>
          </w:p>
        </w:tc>
        <w:tc>
          <w:tcPr>
            <w:tcW w:w="1115" w:type="dxa"/>
            <w:vAlign w:val="center"/>
          </w:tcPr>
          <w:p>
            <w:pPr>
              <w:spacing w:line="330" w:lineRule="exact"/>
              <w:jc w:val="center"/>
              <w:rPr>
                <w:rFonts w:cs="宋体"/>
                <w:szCs w:val="21"/>
              </w:rPr>
            </w:pPr>
            <w:r>
              <w:rPr>
                <w:rFonts w:hint="eastAsia" w:cs="宋体"/>
                <w:szCs w:val="21"/>
              </w:rPr>
              <w:t>烘干机</w:t>
            </w:r>
          </w:p>
        </w:tc>
        <w:tc>
          <w:tcPr>
            <w:tcW w:w="863" w:type="dxa"/>
            <w:vAlign w:val="center"/>
          </w:tcPr>
          <w:p>
            <w:pPr>
              <w:adjustRightInd w:val="0"/>
              <w:snapToGrid w:val="0"/>
              <w:jc w:val="center"/>
              <w:rPr>
                <w:rFonts w:cs="宋体"/>
                <w:szCs w:val="21"/>
              </w:rPr>
            </w:pPr>
            <w:r>
              <w:rPr>
                <w:rFonts w:hint="eastAsia" w:cs="宋体"/>
                <w:szCs w:val="21"/>
              </w:rPr>
              <w:t>SO</w:t>
            </w:r>
            <w:r>
              <w:rPr>
                <w:rFonts w:hint="eastAsia" w:cs="宋体"/>
                <w:szCs w:val="21"/>
                <w:vertAlign w:val="subscript"/>
              </w:rPr>
              <w:t>2</w:t>
            </w:r>
            <w:r>
              <w:rPr>
                <w:rFonts w:hint="eastAsia" w:cs="宋体"/>
                <w:szCs w:val="21"/>
              </w:rPr>
              <w:t>、NOx、</w:t>
            </w:r>
          </w:p>
          <w:p>
            <w:pPr>
              <w:adjustRightInd w:val="0"/>
              <w:snapToGrid w:val="0"/>
              <w:jc w:val="center"/>
              <w:rPr>
                <w:rFonts w:cs="宋体"/>
                <w:szCs w:val="21"/>
              </w:rPr>
            </w:pPr>
            <w:r>
              <w:rPr>
                <w:rFonts w:hint="eastAsia" w:cs="宋体"/>
                <w:szCs w:val="21"/>
              </w:rPr>
              <w:t>颗粒物</w:t>
            </w:r>
          </w:p>
        </w:tc>
        <w:tc>
          <w:tcPr>
            <w:tcW w:w="2812" w:type="dxa"/>
            <w:gridSpan w:val="3"/>
            <w:vAlign w:val="center"/>
          </w:tcPr>
          <w:p>
            <w:pPr>
              <w:adjustRightInd w:val="0"/>
              <w:snapToGrid w:val="0"/>
              <w:jc w:val="center"/>
              <w:rPr>
                <w:rFonts w:cs="宋体"/>
                <w:szCs w:val="21"/>
              </w:rPr>
            </w:pPr>
            <w:r>
              <w:rPr>
                <w:rFonts w:hint="eastAsia"/>
                <w:color w:val="000000"/>
                <w:szCs w:val="21"/>
                <w:lang w:val="en-US" w:eastAsia="zh-CN"/>
              </w:rPr>
              <w:t>2套旋风除尘器（1#、2#）</w:t>
            </w:r>
            <w:r>
              <w:rPr>
                <w:rFonts w:hint="eastAsia"/>
                <w:color w:val="000000"/>
                <w:szCs w:val="21"/>
              </w:rPr>
              <w:t>+2</w:t>
            </w:r>
            <w:r>
              <w:rPr>
                <w:rFonts w:hint="eastAsia"/>
                <w:color w:val="000000"/>
                <w:szCs w:val="21"/>
                <w:lang w:val="en-US" w:eastAsia="zh-CN"/>
              </w:rPr>
              <w:t>套</w:t>
            </w:r>
            <w:r>
              <w:rPr>
                <w:rFonts w:hint="eastAsia"/>
                <w:color w:val="000000"/>
                <w:szCs w:val="21"/>
              </w:rPr>
              <w:t>袋式除尘器（3#、4#）+1根15m高排气筒（DA002）</w:t>
            </w:r>
          </w:p>
        </w:tc>
        <w:tc>
          <w:tcPr>
            <w:tcW w:w="2050" w:type="dxa"/>
            <w:vAlign w:val="center"/>
          </w:tcPr>
          <w:p>
            <w:pPr>
              <w:adjustRightInd w:val="0"/>
              <w:snapToGrid w:val="0"/>
              <w:jc w:val="center"/>
              <w:rPr>
                <w:kern w:val="0"/>
                <w:szCs w:val="21"/>
              </w:rPr>
            </w:pPr>
            <w:r>
              <w:rPr>
                <w:rFonts w:hint="eastAsia"/>
                <w:color w:val="000000"/>
                <w:szCs w:val="21"/>
              </w:rPr>
              <w:t>《</w:t>
            </w:r>
            <w:r>
              <w:rPr>
                <w:rFonts w:hint="eastAsia"/>
                <w:bCs/>
                <w:color w:val="000000"/>
                <w:szCs w:val="21"/>
              </w:rPr>
              <w:t>工业炉窑大气污染物排放标准》（</w:t>
            </w:r>
            <w:r>
              <w:rPr>
                <w:bCs/>
                <w:color w:val="000000"/>
                <w:szCs w:val="21"/>
              </w:rPr>
              <w:t>DB41/1066-20</w:t>
            </w:r>
            <w:r>
              <w:rPr>
                <w:rFonts w:hint="eastAsia"/>
                <w:bCs/>
                <w:color w:val="000000"/>
                <w:szCs w:val="21"/>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892" w:type="dxa"/>
            <w:vMerge w:val="restart"/>
            <w:vAlign w:val="center"/>
          </w:tcPr>
          <w:p>
            <w:pPr>
              <w:adjustRightInd w:val="0"/>
              <w:snapToGrid w:val="0"/>
              <w:jc w:val="center"/>
              <w:rPr>
                <w:rFonts w:hint="eastAsia" w:eastAsia="宋体" w:cs="宋体"/>
                <w:b/>
                <w:bCs/>
                <w:szCs w:val="21"/>
                <w:u w:val="single"/>
                <w:lang w:val="en-US" w:eastAsia="zh-CN"/>
              </w:rPr>
            </w:pPr>
            <w:r>
              <w:rPr>
                <w:rFonts w:hint="eastAsia" w:cs="宋体"/>
                <w:b/>
                <w:bCs/>
                <w:szCs w:val="21"/>
                <w:u w:val="single"/>
                <w:lang w:val="en-US" w:eastAsia="zh-CN"/>
              </w:rPr>
              <w:t>DA003</w:t>
            </w:r>
          </w:p>
        </w:tc>
        <w:tc>
          <w:tcPr>
            <w:tcW w:w="1115" w:type="dxa"/>
            <w:vAlign w:val="center"/>
          </w:tcPr>
          <w:p>
            <w:pPr>
              <w:spacing w:line="330" w:lineRule="exact"/>
              <w:jc w:val="center"/>
              <w:rPr>
                <w:rFonts w:hint="eastAsia" w:eastAsia="宋体" w:cs="宋体"/>
                <w:b/>
                <w:bCs/>
                <w:szCs w:val="21"/>
                <w:u w:val="single"/>
                <w:lang w:val="en-US" w:eastAsia="zh-CN"/>
              </w:rPr>
            </w:pPr>
            <w:r>
              <w:rPr>
                <w:rFonts w:hint="eastAsia" w:cs="宋体"/>
                <w:b/>
                <w:bCs/>
                <w:szCs w:val="21"/>
                <w:u w:val="single"/>
                <w:lang w:val="en-US" w:eastAsia="zh-CN"/>
              </w:rPr>
              <w:t>成品料仓</w:t>
            </w:r>
          </w:p>
        </w:tc>
        <w:tc>
          <w:tcPr>
            <w:tcW w:w="863" w:type="dxa"/>
            <w:vMerge w:val="restart"/>
            <w:vAlign w:val="center"/>
          </w:tcPr>
          <w:p>
            <w:pPr>
              <w:adjustRightInd w:val="0"/>
              <w:snapToGrid w:val="0"/>
              <w:jc w:val="center"/>
              <w:rPr>
                <w:rFonts w:hint="eastAsia" w:eastAsia="宋体" w:cs="宋体"/>
                <w:b/>
                <w:bCs/>
                <w:szCs w:val="21"/>
                <w:u w:val="single"/>
                <w:lang w:val="en-US" w:eastAsia="zh-CN"/>
              </w:rPr>
            </w:pPr>
            <w:r>
              <w:rPr>
                <w:rFonts w:hint="eastAsia" w:cs="宋体"/>
                <w:b/>
                <w:bCs/>
                <w:szCs w:val="21"/>
                <w:u w:val="single"/>
                <w:lang w:val="en-US" w:eastAsia="zh-CN"/>
              </w:rPr>
              <w:t>颗粒物</w:t>
            </w:r>
          </w:p>
        </w:tc>
        <w:tc>
          <w:tcPr>
            <w:tcW w:w="1473" w:type="dxa"/>
            <w:vAlign w:val="center"/>
          </w:tcPr>
          <w:p>
            <w:pPr>
              <w:spacing w:line="260" w:lineRule="exact"/>
              <w:contextualSpacing/>
              <w:jc w:val="center"/>
              <w:rPr>
                <w:rFonts w:hint="eastAsia"/>
                <w:color w:val="000000"/>
                <w:szCs w:val="21"/>
                <w:lang w:val="en-US" w:eastAsia="zh-CN"/>
              </w:rPr>
            </w:pPr>
            <w:r>
              <w:rPr>
                <w:rFonts w:hint="eastAsia"/>
                <w:b/>
                <w:bCs/>
                <w:color w:val="000000"/>
                <w:szCs w:val="21"/>
                <w:u w:val="single"/>
                <w:lang w:val="en-US" w:eastAsia="zh-CN"/>
              </w:rPr>
              <w:t>每个料仓上方均设置一套袋式除尘器，共3套（5#、6#、7#）</w:t>
            </w:r>
          </w:p>
        </w:tc>
        <w:tc>
          <w:tcPr>
            <w:tcW w:w="1339" w:type="dxa"/>
            <w:gridSpan w:val="2"/>
            <w:vMerge w:val="restart"/>
            <w:vAlign w:val="center"/>
          </w:tcPr>
          <w:p>
            <w:pPr>
              <w:adjustRightInd w:val="0"/>
              <w:snapToGrid w:val="0"/>
              <w:jc w:val="center"/>
              <w:rPr>
                <w:rFonts w:hint="eastAsia"/>
                <w:color w:val="000000"/>
                <w:szCs w:val="21"/>
                <w:lang w:val="en-US" w:eastAsia="zh-CN"/>
              </w:rPr>
            </w:pPr>
            <w:r>
              <w:rPr>
                <w:rFonts w:hint="eastAsia"/>
                <w:b/>
                <w:bCs/>
                <w:color w:val="000000"/>
                <w:szCs w:val="21"/>
                <w:u w:val="single"/>
                <w:lang w:val="en-US" w:eastAsia="zh-CN"/>
              </w:rPr>
              <w:t>一根15m高排气筒（DA003）排放</w:t>
            </w:r>
          </w:p>
        </w:tc>
        <w:tc>
          <w:tcPr>
            <w:tcW w:w="2050" w:type="dxa"/>
            <w:vMerge w:val="restart"/>
            <w:vAlign w:val="center"/>
          </w:tcPr>
          <w:p>
            <w:pPr>
              <w:adjustRightInd w:val="0"/>
              <w:snapToGrid w:val="0"/>
              <w:jc w:val="center"/>
              <w:rPr>
                <w:rFonts w:hint="eastAsia"/>
                <w:color w:val="000000"/>
                <w:szCs w:val="21"/>
              </w:rPr>
            </w:pPr>
            <w:r>
              <w:rPr>
                <w:rFonts w:hint="eastAsia"/>
                <w:b/>
                <w:bCs/>
                <w:u w:val="single"/>
              </w:rPr>
              <w:t>《大气污染物综合排放标准》（GB16297-1996）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892" w:type="dxa"/>
            <w:vMerge w:val="continue"/>
            <w:vAlign w:val="center"/>
          </w:tcPr>
          <w:p>
            <w:pPr>
              <w:adjustRightInd w:val="0"/>
              <w:snapToGrid w:val="0"/>
              <w:jc w:val="center"/>
              <w:rPr>
                <w:rFonts w:hint="eastAsia" w:cs="宋体"/>
                <w:szCs w:val="21"/>
              </w:rPr>
            </w:pPr>
          </w:p>
        </w:tc>
        <w:tc>
          <w:tcPr>
            <w:tcW w:w="1115" w:type="dxa"/>
            <w:vAlign w:val="center"/>
          </w:tcPr>
          <w:p>
            <w:pPr>
              <w:spacing w:line="330" w:lineRule="exact"/>
              <w:jc w:val="center"/>
              <w:rPr>
                <w:rFonts w:hint="eastAsia" w:eastAsia="宋体" w:cs="宋体"/>
                <w:szCs w:val="21"/>
                <w:lang w:val="en-US" w:eastAsia="zh-CN"/>
              </w:rPr>
            </w:pPr>
            <w:r>
              <w:rPr>
                <w:rFonts w:hint="eastAsia" w:cs="宋体"/>
                <w:b/>
                <w:bCs/>
                <w:szCs w:val="21"/>
                <w:u w:val="single"/>
                <w:lang w:val="en-US" w:eastAsia="zh-CN"/>
              </w:rPr>
              <w:t>包装机</w:t>
            </w:r>
          </w:p>
        </w:tc>
        <w:tc>
          <w:tcPr>
            <w:tcW w:w="863" w:type="dxa"/>
            <w:vMerge w:val="continue"/>
            <w:vAlign w:val="center"/>
          </w:tcPr>
          <w:p>
            <w:pPr>
              <w:adjustRightInd w:val="0"/>
              <w:snapToGrid w:val="0"/>
              <w:jc w:val="center"/>
              <w:rPr>
                <w:rFonts w:hint="eastAsia" w:cs="宋体"/>
                <w:szCs w:val="21"/>
              </w:rPr>
            </w:pPr>
          </w:p>
        </w:tc>
        <w:tc>
          <w:tcPr>
            <w:tcW w:w="1473" w:type="dxa"/>
            <w:vAlign w:val="center"/>
          </w:tcPr>
          <w:p>
            <w:pPr>
              <w:spacing w:line="260" w:lineRule="exact"/>
              <w:contextualSpacing/>
              <w:jc w:val="center"/>
              <w:rPr>
                <w:rFonts w:hint="eastAsia"/>
                <w:color w:val="000000"/>
                <w:szCs w:val="21"/>
                <w:lang w:val="en-US" w:eastAsia="zh-CN"/>
              </w:rPr>
            </w:pPr>
            <w:r>
              <w:rPr>
                <w:rFonts w:hint="eastAsia"/>
                <w:b/>
                <w:bCs/>
                <w:color w:val="000000"/>
                <w:szCs w:val="21"/>
                <w:u w:val="single"/>
                <w:lang w:val="en-US" w:eastAsia="zh-CN"/>
              </w:rPr>
              <w:t>每台包装机上方均设置一套袋式除尘器，共3套（8#、9#、10#）</w:t>
            </w:r>
          </w:p>
        </w:tc>
        <w:tc>
          <w:tcPr>
            <w:tcW w:w="1339" w:type="dxa"/>
            <w:gridSpan w:val="2"/>
            <w:vMerge w:val="continue"/>
            <w:vAlign w:val="center"/>
          </w:tcPr>
          <w:p>
            <w:pPr>
              <w:adjustRightInd w:val="0"/>
              <w:snapToGrid w:val="0"/>
              <w:jc w:val="center"/>
              <w:rPr>
                <w:rFonts w:hint="eastAsia"/>
                <w:color w:val="000000"/>
                <w:szCs w:val="21"/>
                <w:lang w:val="en-US" w:eastAsia="zh-CN"/>
              </w:rPr>
            </w:pPr>
          </w:p>
        </w:tc>
        <w:tc>
          <w:tcPr>
            <w:tcW w:w="2050" w:type="dxa"/>
            <w:vMerge w:val="continue"/>
            <w:vAlign w:val="center"/>
          </w:tcPr>
          <w:p>
            <w:pPr>
              <w:adjustRightInd w:val="0"/>
              <w:snapToGrid w:val="0"/>
              <w:jc w:val="center"/>
              <w:rPr>
                <w:rFonts w:hint="eastAsia"/>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adjustRightInd w:val="0"/>
              <w:snapToGrid w:val="0"/>
              <w:jc w:val="center"/>
              <w:rPr>
                <w:rFonts w:cs="宋体"/>
                <w:szCs w:val="21"/>
              </w:rPr>
            </w:pPr>
            <w:r>
              <w:rPr>
                <w:rFonts w:hint="eastAsia" w:cs="宋体"/>
                <w:szCs w:val="21"/>
              </w:rPr>
              <w:t>食堂油烟</w:t>
            </w:r>
          </w:p>
        </w:tc>
        <w:tc>
          <w:tcPr>
            <w:tcW w:w="863" w:type="dxa"/>
            <w:vAlign w:val="center"/>
          </w:tcPr>
          <w:p>
            <w:pPr>
              <w:adjustRightInd w:val="0"/>
              <w:snapToGrid w:val="0"/>
              <w:jc w:val="center"/>
              <w:rPr>
                <w:rFonts w:cs="宋体"/>
                <w:szCs w:val="21"/>
              </w:rPr>
            </w:pPr>
            <w:r>
              <w:rPr>
                <w:rFonts w:hint="eastAsia" w:cs="宋体"/>
                <w:szCs w:val="21"/>
              </w:rPr>
              <w:t>油烟</w:t>
            </w:r>
          </w:p>
        </w:tc>
        <w:tc>
          <w:tcPr>
            <w:tcW w:w="2812" w:type="dxa"/>
            <w:gridSpan w:val="3"/>
            <w:vAlign w:val="center"/>
          </w:tcPr>
          <w:p>
            <w:pPr>
              <w:spacing w:line="260" w:lineRule="exact"/>
              <w:jc w:val="center"/>
              <w:rPr>
                <w:color w:val="000000"/>
                <w:szCs w:val="21"/>
              </w:rPr>
            </w:pPr>
            <w:r>
              <w:rPr>
                <w:rFonts w:hint="eastAsia"/>
                <w:color w:val="000000"/>
                <w:szCs w:val="21"/>
              </w:rPr>
              <w:t>油烟净化器+高于食堂楼顶排气筒</w:t>
            </w:r>
          </w:p>
        </w:tc>
        <w:tc>
          <w:tcPr>
            <w:tcW w:w="2050" w:type="dxa"/>
            <w:vAlign w:val="center"/>
          </w:tcPr>
          <w:p>
            <w:pPr>
              <w:adjustRightInd w:val="0"/>
              <w:snapToGrid w:val="0"/>
              <w:jc w:val="center"/>
              <w:rPr>
                <w:color w:val="000000"/>
                <w:szCs w:val="21"/>
              </w:rPr>
            </w:pPr>
            <w:r>
              <w:rPr>
                <w:color w:val="000000"/>
                <w:szCs w:val="21"/>
              </w:rPr>
              <w:t>《餐饮业油烟污染物排放标准》</w:t>
            </w:r>
            <w:r>
              <w:rPr>
                <w:rFonts w:hint="eastAsia"/>
                <w:color w:val="000000"/>
                <w:szCs w:val="21"/>
              </w:rPr>
              <w:t>（</w:t>
            </w:r>
            <w:r>
              <w:rPr>
                <w:color w:val="000000"/>
                <w:szCs w:val="21"/>
              </w:rPr>
              <w:t>DB41/1604-2018</w:t>
            </w:r>
            <w:r>
              <w:rPr>
                <w:rFonts w:hint="eastAsia"/>
                <w:color w:val="00000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adjustRightInd w:val="0"/>
              <w:snapToGrid w:val="0"/>
              <w:jc w:val="center"/>
              <w:rPr>
                <w:rFonts w:cs="宋体"/>
                <w:szCs w:val="21"/>
              </w:rPr>
            </w:pPr>
            <w:r>
              <w:rPr>
                <w:rFonts w:hint="eastAsia" w:cs="宋体"/>
                <w:szCs w:val="21"/>
              </w:rPr>
              <w:t>原料库</w:t>
            </w:r>
          </w:p>
        </w:tc>
        <w:tc>
          <w:tcPr>
            <w:tcW w:w="863" w:type="dxa"/>
            <w:vAlign w:val="center"/>
          </w:tcPr>
          <w:p>
            <w:pPr>
              <w:adjustRightInd w:val="0"/>
              <w:snapToGrid w:val="0"/>
              <w:jc w:val="center"/>
              <w:rPr>
                <w:rFonts w:cs="宋体"/>
                <w:szCs w:val="21"/>
              </w:rPr>
            </w:pPr>
            <w:r>
              <w:rPr>
                <w:rFonts w:hint="eastAsia" w:cs="宋体"/>
                <w:szCs w:val="21"/>
              </w:rPr>
              <w:t>颗粒物</w:t>
            </w:r>
          </w:p>
        </w:tc>
        <w:tc>
          <w:tcPr>
            <w:tcW w:w="2812" w:type="dxa"/>
            <w:gridSpan w:val="3"/>
            <w:vAlign w:val="center"/>
          </w:tcPr>
          <w:p>
            <w:pPr>
              <w:spacing w:line="260" w:lineRule="exact"/>
              <w:jc w:val="center"/>
              <w:rPr>
                <w:rFonts w:cs="宋体"/>
                <w:szCs w:val="21"/>
              </w:rPr>
            </w:pPr>
            <w:r>
              <w:rPr>
                <w:rFonts w:hint="eastAsia"/>
                <w:color w:val="000000"/>
                <w:szCs w:val="21"/>
              </w:rPr>
              <w:t>全密封原料库，上方设置喷干雾抑尘装置覆盖全部堆场，装卸作业在封闭原料库内进行；料库四面密闭，通道口安装卷帘门；所有地面均硬化。</w:t>
            </w:r>
          </w:p>
        </w:tc>
        <w:tc>
          <w:tcPr>
            <w:tcW w:w="2050" w:type="dxa"/>
            <w:vMerge w:val="restart"/>
            <w:vAlign w:val="center"/>
          </w:tcPr>
          <w:p>
            <w:pPr>
              <w:adjustRightInd w:val="0"/>
              <w:snapToGrid w:val="0"/>
              <w:jc w:val="center"/>
              <w:rPr>
                <w:rFonts w:cs="宋体"/>
                <w:szCs w:val="21"/>
              </w:rPr>
            </w:pPr>
            <w:r>
              <w:rPr>
                <w:rFonts w:hint="eastAsia"/>
              </w:rPr>
              <w:t>《大气污染物综合排放标准》（GB16297-1996）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adjustRightInd w:val="0"/>
              <w:snapToGrid w:val="0"/>
              <w:jc w:val="center"/>
              <w:rPr>
                <w:rFonts w:cs="宋体"/>
                <w:szCs w:val="21"/>
              </w:rPr>
            </w:pPr>
            <w:r>
              <w:rPr>
                <w:rFonts w:hint="eastAsia" w:cs="宋体"/>
                <w:szCs w:val="21"/>
              </w:rPr>
              <w:t>车辆运输</w:t>
            </w:r>
          </w:p>
        </w:tc>
        <w:tc>
          <w:tcPr>
            <w:tcW w:w="863" w:type="dxa"/>
            <w:vAlign w:val="center"/>
          </w:tcPr>
          <w:p>
            <w:pPr>
              <w:adjustRightInd w:val="0"/>
              <w:snapToGrid w:val="0"/>
              <w:jc w:val="center"/>
              <w:rPr>
                <w:rFonts w:cs="宋体"/>
                <w:szCs w:val="21"/>
              </w:rPr>
            </w:pPr>
            <w:r>
              <w:rPr>
                <w:rFonts w:hint="eastAsia" w:cs="宋体"/>
                <w:szCs w:val="21"/>
              </w:rPr>
              <w:t>颗粒物</w:t>
            </w:r>
          </w:p>
        </w:tc>
        <w:tc>
          <w:tcPr>
            <w:tcW w:w="2812" w:type="dxa"/>
            <w:gridSpan w:val="3"/>
            <w:vAlign w:val="center"/>
          </w:tcPr>
          <w:p>
            <w:pPr>
              <w:spacing w:line="260" w:lineRule="exact"/>
              <w:jc w:val="center"/>
              <w:rPr>
                <w:color w:val="000000"/>
                <w:szCs w:val="21"/>
              </w:rPr>
            </w:pPr>
            <w:r>
              <w:rPr>
                <w:rFonts w:hint="eastAsia"/>
                <w:szCs w:val="22"/>
              </w:rPr>
              <w:t>厂区道路硬化，配备专人对厂区及入厂道路定期清扫，场地洒水抑尘；厂区内地面硬化或绿化，内无裸露空地；配备高压清洗装置对所有车辆车轮、底盘进行冲洗</w:t>
            </w:r>
          </w:p>
        </w:tc>
        <w:tc>
          <w:tcPr>
            <w:tcW w:w="2050" w:type="dxa"/>
            <w:vMerge w:val="continue"/>
            <w:vAlign w:val="center"/>
          </w:tcPr>
          <w:p>
            <w:pPr>
              <w:adjustRightInd w:val="0"/>
              <w:snapToGrid w:val="0"/>
              <w:jc w:val="center"/>
              <w:rPr>
                <w:kern w:val="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restart"/>
            <w:vAlign w:val="center"/>
          </w:tcPr>
          <w:p>
            <w:pPr>
              <w:adjustRightInd w:val="0"/>
              <w:snapToGrid w:val="0"/>
              <w:jc w:val="center"/>
              <w:rPr>
                <w:rFonts w:cs="宋体"/>
                <w:szCs w:val="21"/>
              </w:rPr>
            </w:pPr>
            <w:r>
              <w:rPr>
                <w:rFonts w:hint="eastAsia" w:cs="宋体"/>
                <w:szCs w:val="21"/>
              </w:rPr>
              <w:t>地表水</w:t>
            </w:r>
          </w:p>
          <w:p>
            <w:pPr>
              <w:adjustRightInd w:val="0"/>
              <w:snapToGrid w:val="0"/>
              <w:jc w:val="center"/>
              <w:rPr>
                <w:rFonts w:cs="宋体"/>
                <w:szCs w:val="21"/>
              </w:rPr>
            </w:pPr>
            <w:r>
              <w:rPr>
                <w:rFonts w:hint="eastAsia" w:cs="宋体"/>
                <w:szCs w:val="21"/>
              </w:rPr>
              <w:t>环境</w:t>
            </w:r>
          </w:p>
        </w:tc>
        <w:tc>
          <w:tcPr>
            <w:tcW w:w="2007" w:type="dxa"/>
            <w:gridSpan w:val="2"/>
            <w:vAlign w:val="center"/>
          </w:tcPr>
          <w:p>
            <w:pPr>
              <w:snapToGrid w:val="0"/>
              <w:jc w:val="center"/>
              <w:rPr>
                <w:rFonts w:cs="宋体"/>
                <w:szCs w:val="21"/>
              </w:rPr>
            </w:pPr>
            <w:r>
              <w:rPr>
                <w:rFonts w:hint="eastAsia"/>
                <w:snapToGrid w:val="0"/>
                <w:kern w:val="0"/>
                <w:szCs w:val="21"/>
              </w:rPr>
              <w:t>车辆冲洗废水</w:t>
            </w:r>
          </w:p>
        </w:tc>
        <w:tc>
          <w:tcPr>
            <w:tcW w:w="863" w:type="dxa"/>
            <w:vAlign w:val="center"/>
          </w:tcPr>
          <w:p>
            <w:pPr>
              <w:jc w:val="center"/>
              <w:rPr>
                <w:rFonts w:cs="宋体"/>
                <w:szCs w:val="21"/>
              </w:rPr>
            </w:pPr>
            <w:r>
              <w:rPr>
                <w:rFonts w:hint="eastAsia"/>
                <w:szCs w:val="21"/>
              </w:rPr>
              <w:t>SS</w:t>
            </w:r>
          </w:p>
        </w:tc>
        <w:tc>
          <w:tcPr>
            <w:tcW w:w="2812" w:type="dxa"/>
            <w:gridSpan w:val="3"/>
            <w:vAlign w:val="center"/>
          </w:tcPr>
          <w:p>
            <w:pPr>
              <w:jc w:val="center"/>
              <w:rPr>
                <w:rFonts w:cs="宋体"/>
                <w:szCs w:val="21"/>
              </w:rPr>
            </w:pPr>
            <w:r>
              <w:rPr>
                <w:rFonts w:hint="eastAsia"/>
                <w:color w:val="000000"/>
                <w:szCs w:val="21"/>
              </w:rPr>
              <w:t>洗车平台+容积100m</w:t>
            </w:r>
            <w:r>
              <w:rPr>
                <w:rFonts w:hint="eastAsia"/>
                <w:color w:val="000000"/>
                <w:szCs w:val="21"/>
                <w:vertAlign w:val="superscript"/>
              </w:rPr>
              <w:t>3</w:t>
            </w:r>
            <w:r>
              <w:rPr>
                <w:rFonts w:hint="eastAsia"/>
                <w:color w:val="000000"/>
                <w:szCs w:val="21"/>
              </w:rPr>
              <w:t>的沉淀池</w:t>
            </w:r>
          </w:p>
        </w:tc>
        <w:tc>
          <w:tcPr>
            <w:tcW w:w="2050" w:type="dxa"/>
            <w:vAlign w:val="center"/>
          </w:tcPr>
          <w:p>
            <w:pPr>
              <w:spacing w:line="240" w:lineRule="exact"/>
              <w:contextualSpacing/>
              <w:jc w:val="center"/>
              <w:rPr>
                <w:rFonts w:cs="宋体"/>
                <w:szCs w:val="21"/>
              </w:rPr>
            </w:pPr>
            <w:r>
              <w:rPr>
                <w:rFonts w:hint="eastAsia"/>
                <w:color w:val="000000"/>
                <w:szCs w:val="21"/>
              </w:rPr>
              <w:t>沉淀后循环使用，不外排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hint="eastAsia" w:cs="宋体"/>
                <w:szCs w:val="21"/>
              </w:rPr>
            </w:pPr>
          </w:p>
        </w:tc>
        <w:tc>
          <w:tcPr>
            <w:tcW w:w="2007" w:type="dxa"/>
            <w:gridSpan w:val="2"/>
            <w:vAlign w:val="center"/>
          </w:tcPr>
          <w:p>
            <w:pPr>
              <w:snapToGrid w:val="0"/>
              <w:jc w:val="center"/>
              <w:rPr>
                <w:rFonts w:hint="eastAsia" w:eastAsia="宋体"/>
                <w:snapToGrid w:val="0"/>
                <w:kern w:val="0"/>
                <w:szCs w:val="21"/>
                <w:lang w:val="en-US" w:eastAsia="zh-CN"/>
              </w:rPr>
            </w:pPr>
            <w:r>
              <w:rPr>
                <w:rFonts w:hint="eastAsia"/>
                <w:b/>
                <w:bCs/>
                <w:color w:val="000000"/>
                <w:szCs w:val="21"/>
                <w:u w:val="single"/>
                <w:lang w:val="en-US" w:eastAsia="zh-CN"/>
              </w:rPr>
              <w:t>生产废水</w:t>
            </w:r>
          </w:p>
        </w:tc>
        <w:tc>
          <w:tcPr>
            <w:tcW w:w="863" w:type="dxa"/>
            <w:vAlign w:val="center"/>
          </w:tcPr>
          <w:p>
            <w:pPr>
              <w:jc w:val="center"/>
              <w:rPr>
                <w:rFonts w:hint="eastAsia" w:eastAsia="宋体"/>
                <w:szCs w:val="21"/>
                <w:lang w:val="en-US" w:eastAsia="zh-CN"/>
              </w:rPr>
            </w:pPr>
            <w:r>
              <w:rPr>
                <w:rFonts w:hint="eastAsia"/>
                <w:szCs w:val="21"/>
                <w:lang w:val="en-US" w:eastAsia="zh-CN"/>
              </w:rPr>
              <w:t>SS</w:t>
            </w:r>
          </w:p>
        </w:tc>
        <w:tc>
          <w:tcPr>
            <w:tcW w:w="2812" w:type="dxa"/>
            <w:gridSpan w:val="3"/>
            <w:vAlign w:val="center"/>
          </w:tcPr>
          <w:p>
            <w:pPr>
              <w:jc w:val="center"/>
              <w:rPr>
                <w:rFonts w:hint="eastAsia"/>
                <w:color w:val="000000"/>
                <w:szCs w:val="21"/>
                <w:lang w:val="en-US"/>
              </w:rPr>
            </w:pPr>
            <w:r>
              <w:rPr>
                <w:rFonts w:hint="eastAsia"/>
                <w:b/>
                <w:bCs/>
                <w:color w:val="000000"/>
                <w:szCs w:val="21"/>
                <w:u w:val="single"/>
                <w:lang w:val="en-US" w:eastAsia="zh-CN"/>
              </w:rPr>
              <w:t>浓缩罐+储水池</w:t>
            </w:r>
          </w:p>
        </w:tc>
        <w:tc>
          <w:tcPr>
            <w:tcW w:w="2050" w:type="dxa"/>
            <w:vAlign w:val="center"/>
          </w:tcPr>
          <w:p>
            <w:pPr>
              <w:spacing w:line="240" w:lineRule="exact"/>
              <w:contextualSpacing/>
              <w:jc w:val="center"/>
              <w:rPr>
                <w:rFonts w:hint="eastAsia"/>
                <w:color w:val="000000"/>
                <w:szCs w:val="21"/>
              </w:rPr>
            </w:pPr>
            <w:r>
              <w:rPr>
                <w:rFonts w:hint="eastAsia"/>
                <w:b/>
                <w:bCs/>
                <w:color w:val="000000"/>
                <w:szCs w:val="21"/>
                <w:u w:val="single"/>
                <w:lang w:val="en-US" w:eastAsia="zh-CN"/>
              </w:rPr>
              <w:t>循环使用不外排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snapToGrid w:val="0"/>
              <w:jc w:val="center"/>
              <w:rPr>
                <w:snapToGrid w:val="0"/>
                <w:kern w:val="0"/>
                <w:szCs w:val="21"/>
              </w:rPr>
            </w:pPr>
            <w:r>
              <w:rPr>
                <w:rFonts w:hint="eastAsia"/>
                <w:snapToGrid w:val="0"/>
                <w:kern w:val="0"/>
                <w:szCs w:val="21"/>
              </w:rPr>
              <w:t>生活废水</w:t>
            </w:r>
          </w:p>
        </w:tc>
        <w:tc>
          <w:tcPr>
            <w:tcW w:w="863" w:type="dxa"/>
            <w:vAlign w:val="center"/>
          </w:tcPr>
          <w:p>
            <w:pPr>
              <w:jc w:val="center"/>
              <w:rPr>
                <w:szCs w:val="21"/>
              </w:rPr>
            </w:pPr>
            <w:r>
              <w:rPr>
                <w:rFonts w:hint="eastAsia"/>
                <w:szCs w:val="21"/>
              </w:rPr>
              <w:t>COD、BOD</w:t>
            </w:r>
            <w:r>
              <w:rPr>
                <w:rFonts w:hint="eastAsia"/>
                <w:szCs w:val="21"/>
                <w:vertAlign w:val="subscript"/>
              </w:rPr>
              <w:t>5</w:t>
            </w:r>
            <w:r>
              <w:rPr>
                <w:rFonts w:hint="eastAsia"/>
                <w:szCs w:val="21"/>
              </w:rPr>
              <w:t>、SS、氨氮、动植物油</w:t>
            </w:r>
          </w:p>
        </w:tc>
        <w:tc>
          <w:tcPr>
            <w:tcW w:w="2812" w:type="dxa"/>
            <w:gridSpan w:val="3"/>
            <w:vAlign w:val="center"/>
          </w:tcPr>
          <w:p>
            <w:pPr>
              <w:contextualSpacing/>
              <w:jc w:val="center"/>
              <w:rPr>
                <w:szCs w:val="21"/>
              </w:rPr>
            </w:pPr>
            <w:r>
              <w:rPr>
                <w:rFonts w:hint="eastAsia"/>
                <w:color w:val="000000"/>
                <w:szCs w:val="21"/>
              </w:rPr>
              <w:t>隔油池（2m</w:t>
            </w:r>
            <w:r>
              <w:rPr>
                <w:rFonts w:hint="eastAsia"/>
                <w:color w:val="000000"/>
                <w:szCs w:val="21"/>
                <w:vertAlign w:val="superscript"/>
              </w:rPr>
              <w:t>3</w:t>
            </w:r>
            <w:r>
              <w:rPr>
                <w:rFonts w:hint="eastAsia"/>
                <w:color w:val="000000"/>
                <w:szCs w:val="21"/>
              </w:rPr>
              <w:t>）+一个容积12m</w:t>
            </w:r>
            <w:r>
              <w:rPr>
                <w:rFonts w:hint="eastAsia"/>
                <w:color w:val="000000"/>
                <w:szCs w:val="21"/>
                <w:vertAlign w:val="superscript"/>
              </w:rPr>
              <w:t>3</w:t>
            </w:r>
            <w:r>
              <w:rPr>
                <w:rFonts w:hint="eastAsia"/>
                <w:color w:val="000000"/>
                <w:szCs w:val="21"/>
              </w:rPr>
              <w:t>的化粪池</w:t>
            </w:r>
          </w:p>
        </w:tc>
        <w:tc>
          <w:tcPr>
            <w:tcW w:w="2050" w:type="dxa"/>
            <w:vAlign w:val="center"/>
          </w:tcPr>
          <w:p>
            <w:pPr>
              <w:spacing w:line="240" w:lineRule="exact"/>
              <w:contextualSpacing/>
              <w:jc w:val="center"/>
              <w:rPr>
                <w:rFonts w:hint="eastAsia" w:eastAsia="宋体" w:cs="宋体"/>
                <w:szCs w:val="21"/>
                <w:lang w:val="en-US" w:eastAsia="zh-CN"/>
              </w:rPr>
            </w:pPr>
            <w:r>
              <w:rPr>
                <w:rFonts w:hint="eastAsia" w:cs="宋体"/>
                <w:szCs w:val="21"/>
                <w:lang w:val="en-US" w:eastAsia="zh-CN"/>
              </w:rPr>
              <w:t>送至</w:t>
            </w:r>
            <w:r>
              <w:rPr>
                <w:rFonts w:hint="eastAsia" w:cs="宋体"/>
                <w:szCs w:val="21"/>
              </w:rPr>
              <w:t>集聚区污水处理厂</w:t>
            </w:r>
            <w:r>
              <w:rPr>
                <w:rFonts w:hint="eastAsia" w:cs="宋体"/>
                <w:szCs w:val="21"/>
                <w:lang w:val="en-US" w:eastAsia="zh-CN"/>
              </w:rPr>
              <w:t>处理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snapToGrid w:val="0"/>
              <w:jc w:val="center"/>
              <w:rPr>
                <w:snapToGrid w:val="0"/>
                <w:kern w:val="0"/>
                <w:szCs w:val="21"/>
              </w:rPr>
            </w:pPr>
            <w:r>
              <w:rPr>
                <w:rFonts w:hint="eastAsia"/>
                <w:snapToGrid w:val="0"/>
                <w:kern w:val="0"/>
                <w:szCs w:val="21"/>
              </w:rPr>
              <w:t>初期雨水</w:t>
            </w:r>
          </w:p>
        </w:tc>
        <w:tc>
          <w:tcPr>
            <w:tcW w:w="863" w:type="dxa"/>
            <w:vAlign w:val="center"/>
          </w:tcPr>
          <w:p>
            <w:pPr>
              <w:jc w:val="center"/>
              <w:rPr>
                <w:szCs w:val="21"/>
              </w:rPr>
            </w:pPr>
            <w:r>
              <w:rPr>
                <w:rFonts w:hint="eastAsia"/>
                <w:szCs w:val="21"/>
              </w:rPr>
              <w:t>SS</w:t>
            </w:r>
          </w:p>
        </w:tc>
        <w:tc>
          <w:tcPr>
            <w:tcW w:w="2812" w:type="dxa"/>
            <w:gridSpan w:val="3"/>
            <w:vAlign w:val="center"/>
          </w:tcPr>
          <w:p>
            <w:pPr>
              <w:contextualSpacing/>
              <w:jc w:val="center"/>
              <w:rPr>
                <w:color w:val="000000"/>
                <w:szCs w:val="21"/>
              </w:rPr>
            </w:pPr>
            <w:r>
              <w:rPr>
                <w:rFonts w:hint="eastAsia"/>
                <w:color w:val="000000"/>
                <w:szCs w:val="21"/>
              </w:rPr>
              <w:t>初期雨水收集池，容积190m</w:t>
            </w:r>
            <w:r>
              <w:rPr>
                <w:rFonts w:hint="eastAsia"/>
                <w:color w:val="000000"/>
                <w:szCs w:val="21"/>
                <w:vertAlign w:val="superscript"/>
              </w:rPr>
              <w:t>3</w:t>
            </w:r>
          </w:p>
        </w:tc>
        <w:tc>
          <w:tcPr>
            <w:tcW w:w="2050" w:type="dxa"/>
            <w:vAlign w:val="center"/>
          </w:tcPr>
          <w:p>
            <w:pPr>
              <w:spacing w:line="240" w:lineRule="exact"/>
              <w:contextualSpacing/>
              <w:jc w:val="center"/>
              <w:rPr>
                <w:color w:val="000000"/>
                <w:szCs w:val="21"/>
              </w:rPr>
            </w:pPr>
            <w:r>
              <w:rPr>
                <w:rFonts w:hint="eastAsia"/>
                <w:color w:val="000000"/>
                <w:szCs w:val="21"/>
              </w:rPr>
              <w:t>收集沉淀后，用于厂区洒水降尘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Align w:val="center"/>
          </w:tcPr>
          <w:p>
            <w:pPr>
              <w:adjustRightInd w:val="0"/>
              <w:snapToGrid w:val="0"/>
              <w:jc w:val="center"/>
              <w:rPr>
                <w:rFonts w:cs="宋体"/>
                <w:szCs w:val="21"/>
              </w:rPr>
            </w:pPr>
            <w:r>
              <w:rPr>
                <w:rFonts w:hint="eastAsia" w:cs="宋体"/>
                <w:szCs w:val="21"/>
              </w:rPr>
              <w:t>声环境</w:t>
            </w:r>
          </w:p>
        </w:tc>
        <w:tc>
          <w:tcPr>
            <w:tcW w:w="2007" w:type="dxa"/>
            <w:gridSpan w:val="2"/>
            <w:vAlign w:val="center"/>
          </w:tcPr>
          <w:p>
            <w:pPr>
              <w:adjustRightInd w:val="0"/>
              <w:snapToGrid w:val="0"/>
              <w:jc w:val="center"/>
              <w:rPr>
                <w:rFonts w:cs="宋体"/>
                <w:szCs w:val="21"/>
              </w:rPr>
            </w:pPr>
            <w:r>
              <w:rPr>
                <w:rFonts w:hint="eastAsia" w:cs="宋体"/>
                <w:szCs w:val="21"/>
              </w:rPr>
              <w:t>设备噪声</w:t>
            </w:r>
          </w:p>
        </w:tc>
        <w:tc>
          <w:tcPr>
            <w:tcW w:w="863" w:type="dxa"/>
            <w:vAlign w:val="center"/>
          </w:tcPr>
          <w:p>
            <w:pPr>
              <w:adjustRightInd w:val="0"/>
              <w:snapToGrid w:val="0"/>
              <w:jc w:val="center"/>
              <w:rPr>
                <w:rFonts w:hint="eastAsia" w:cs="宋体"/>
                <w:szCs w:val="21"/>
              </w:rPr>
            </w:pPr>
            <w:r>
              <w:rPr>
                <w:rFonts w:hint="eastAsia" w:cs="宋体"/>
                <w:szCs w:val="21"/>
              </w:rPr>
              <w:t>等效</w:t>
            </w:r>
          </w:p>
          <w:p>
            <w:pPr>
              <w:adjustRightInd w:val="0"/>
              <w:snapToGrid w:val="0"/>
              <w:jc w:val="center"/>
              <w:rPr>
                <w:rFonts w:cs="宋体"/>
                <w:szCs w:val="21"/>
              </w:rPr>
            </w:pPr>
            <w:r>
              <w:rPr>
                <w:rFonts w:hint="eastAsia" w:cs="宋体"/>
                <w:szCs w:val="21"/>
              </w:rPr>
              <w:t>声级</w:t>
            </w:r>
          </w:p>
        </w:tc>
        <w:tc>
          <w:tcPr>
            <w:tcW w:w="2812" w:type="dxa"/>
            <w:gridSpan w:val="3"/>
            <w:vAlign w:val="center"/>
          </w:tcPr>
          <w:p>
            <w:pPr>
              <w:adjustRightInd w:val="0"/>
              <w:snapToGrid w:val="0"/>
              <w:jc w:val="center"/>
              <w:rPr>
                <w:bCs/>
                <w:szCs w:val="21"/>
              </w:rPr>
            </w:pPr>
            <w:r>
              <w:rPr>
                <w:rFonts w:hint="eastAsia"/>
                <w:bCs/>
                <w:szCs w:val="21"/>
              </w:rPr>
              <w:t>厂房内布置、</w:t>
            </w:r>
            <w:r>
              <w:rPr>
                <w:bCs/>
                <w:szCs w:val="21"/>
              </w:rPr>
              <w:t>基础减</w:t>
            </w:r>
            <w:r>
              <w:rPr>
                <w:rFonts w:hint="eastAsia"/>
                <w:bCs/>
                <w:szCs w:val="21"/>
              </w:rPr>
              <w:t>震</w:t>
            </w:r>
          </w:p>
        </w:tc>
        <w:tc>
          <w:tcPr>
            <w:tcW w:w="2050" w:type="dxa"/>
            <w:vAlign w:val="center"/>
          </w:tcPr>
          <w:p>
            <w:pPr>
              <w:adjustRightInd w:val="0"/>
              <w:snapToGrid w:val="0"/>
              <w:rPr>
                <w:spacing w:val="-16"/>
                <w:szCs w:val="21"/>
              </w:rPr>
            </w:pPr>
            <w:r>
              <w:rPr>
                <w:spacing w:val="-16"/>
                <w:szCs w:val="21"/>
              </w:rPr>
              <w:t>《工业企业厂界环境噪声排放标准》（GB12348-2008）</w:t>
            </w:r>
            <w:r>
              <w:rPr>
                <w:rFonts w:hint="eastAsia"/>
                <w:spacing w:val="-16"/>
                <w:szCs w:val="21"/>
              </w:rPr>
              <w:t>3</w:t>
            </w:r>
            <w:r>
              <w:rPr>
                <w:spacing w:val="-16"/>
                <w:szCs w:val="21"/>
              </w:rPr>
              <w:t>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Align w:val="center"/>
          </w:tcPr>
          <w:p>
            <w:pPr>
              <w:adjustRightInd w:val="0"/>
              <w:snapToGrid w:val="0"/>
              <w:jc w:val="center"/>
              <w:rPr>
                <w:rFonts w:cs="宋体"/>
                <w:szCs w:val="21"/>
              </w:rPr>
            </w:pPr>
            <w:r>
              <w:rPr>
                <w:rFonts w:hint="eastAsia" w:cs="宋体"/>
                <w:szCs w:val="21"/>
              </w:rPr>
              <w:t>电磁辐射</w:t>
            </w:r>
          </w:p>
        </w:tc>
        <w:tc>
          <w:tcPr>
            <w:tcW w:w="2007" w:type="dxa"/>
            <w:gridSpan w:val="2"/>
            <w:vAlign w:val="center"/>
          </w:tcPr>
          <w:p>
            <w:pPr>
              <w:adjustRightInd w:val="0"/>
              <w:snapToGrid w:val="0"/>
              <w:jc w:val="center"/>
              <w:rPr>
                <w:rFonts w:cs="宋体"/>
                <w:szCs w:val="21"/>
              </w:rPr>
            </w:pPr>
            <w:r>
              <w:rPr>
                <w:rFonts w:hint="eastAsia" w:cs="宋体"/>
                <w:szCs w:val="21"/>
              </w:rPr>
              <w:t>/</w:t>
            </w:r>
          </w:p>
        </w:tc>
        <w:tc>
          <w:tcPr>
            <w:tcW w:w="863" w:type="dxa"/>
            <w:vAlign w:val="center"/>
          </w:tcPr>
          <w:p>
            <w:pPr>
              <w:adjustRightInd w:val="0"/>
              <w:snapToGrid w:val="0"/>
              <w:jc w:val="center"/>
              <w:rPr>
                <w:rFonts w:cs="宋体"/>
                <w:szCs w:val="21"/>
              </w:rPr>
            </w:pPr>
            <w:r>
              <w:rPr>
                <w:rFonts w:hint="eastAsia" w:cs="宋体"/>
                <w:szCs w:val="21"/>
              </w:rPr>
              <w:t>/</w:t>
            </w:r>
          </w:p>
        </w:tc>
        <w:tc>
          <w:tcPr>
            <w:tcW w:w="2812" w:type="dxa"/>
            <w:gridSpan w:val="3"/>
            <w:vAlign w:val="center"/>
          </w:tcPr>
          <w:p>
            <w:pPr>
              <w:adjustRightInd w:val="0"/>
              <w:snapToGrid w:val="0"/>
              <w:jc w:val="center"/>
              <w:rPr>
                <w:rFonts w:cs="宋体"/>
                <w:szCs w:val="21"/>
              </w:rPr>
            </w:pPr>
            <w:r>
              <w:rPr>
                <w:rFonts w:hint="eastAsia" w:cs="宋体"/>
                <w:szCs w:val="21"/>
              </w:rPr>
              <w:t>/</w:t>
            </w:r>
          </w:p>
        </w:tc>
        <w:tc>
          <w:tcPr>
            <w:tcW w:w="2050" w:type="dxa"/>
            <w:vAlign w:val="center"/>
          </w:tcPr>
          <w:p>
            <w:pPr>
              <w:adjustRightInd w:val="0"/>
              <w:snapToGrid w:val="0"/>
              <w:jc w:val="center"/>
              <w:rPr>
                <w:rFonts w:cs="宋体"/>
                <w:szCs w:val="21"/>
              </w:rPr>
            </w:pPr>
            <w:r>
              <w:rPr>
                <w:rFonts w:hint="eastAsia" w:cs="宋体"/>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restart"/>
            <w:vAlign w:val="center"/>
          </w:tcPr>
          <w:p>
            <w:pPr>
              <w:adjustRightInd w:val="0"/>
              <w:snapToGrid w:val="0"/>
              <w:jc w:val="center"/>
              <w:rPr>
                <w:rFonts w:cs="宋体"/>
                <w:szCs w:val="21"/>
              </w:rPr>
            </w:pPr>
            <w:r>
              <w:rPr>
                <w:rFonts w:hint="eastAsia" w:cs="宋体"/>
                <w:szCs w:val="21"/>
              </w:rPr>
              <w:t>固体废物</w:t>
            </w:r>
          </w:p>
        </w:tc>
        <w:tc>
          <w:tcPr>
            <w:tcW w:w="2007" w:type="dxa"/>
            <w:gridSpan w:val="2"/>
            <w:vAlign w:val="center"/>
          </w:tcPr>
          <w:p>
            <w:pPr>
              <w:adjustRightInd w:val="0"/>
              <w:snapToGrid w:val="0"/>
              <w:jc w:val="center"/>
              <w:rPr>
                <w:b/>
                <w:bCs/>
                <w:szCs w:val="21"/>
                <w:u w:val="single"/>
              </w:rPr>
            </w:pPr>
            <w:r>
              <w:rPr>
                <w:rFonts w:hint="eastAsia"/>
                <w:color w:val="000000"/>
                <w:szCs w:val="21"/>
              </w:rPr>
              <w:t>除尘器收集粉尘</w:t>
            </w:r>
          </w:p>
        </w:tc>
        <w:tc>
          <w:tcPr>
            <w:tcW w:w="5725" w:type="dxa"/>
            <w:gridSpan w:val="5"/>
            <w:vAlign w:val="center"/>
          </w:tcPr>
          <w:p>
            <w:pPr>
              <w:adjustRightInd w:val="0"/>
              <w:snapToGrid w:val="0"/>
              <w:jc w:val="center"/>
              <w:rPr>
                <w:b/>
                <w:bCs/>
                <w:szCs w:val="21"/>
                <w:u w:val="single"/>
              </w:rPr>
            </w:pPr>
            <w:r>
              <w:rPr>
                <w:rFonts w:hint="eastAsia"/>
                <w:color w:val="000000"/>
                <w:szCs w:val="21"/>
              </w:rPr>
              <w:t>收集后作为产品外售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hint="eastAsia" w:cs="宋体"/>
                <w:szCs w:val="21"/>
              </w:rPr>
            </w:pPr>
          </w:p>
        </w:tc>
        <w:tc>
          <w:tcPr>
            <w:tcW w:w="2007" w:type="dxa"/>
            <w:gridSpan w:val="2"/>
            <w:vAlign w:val="center"/>
          </w:tcPr>
          <w:p>
            <w:pPr>
              <w:adjustRightInd w:val="0"/>
              <w:snapToGrid w:val="0"/>
              <w:jc w:val="center"/>
              <w:rPr>
                <w:rFonts w:hint="eastAsia" w:eastAsia="宋体"/>
                <w:b/>
                <w:bCs/>
                <w:color w:val="000000"/>
                <w:szCs w:val="21"/>
                <w:u w:val="single"/>
                <w:lang w:val="en-US" w:eastAsia="zh-CN"/>
              </w:rPr>
            </w:pPr>
            <w:r>
              <w:rPr>
                <w:rFonts w:hint="eastAsia"/>
                <w:b/>
                <w:bCs/>
                <w:color w:val="000000"/>
                <w:szCs w:val="21"/>
                <w:u w:val="single"/>
                <w:lang w:val="en-US" w:eastAsia="zh-CN"/>
              </w:rPr>
              <w:t>压滤料</w:t>
            </w:r>
          </w:p>
        </w:tc>
        <w:tc>
          <w:tcPr>
            <w:tcW w:w="5725" w:type="dxa"/>
            <w:gridSpan w:val="5"/>
            <w:vAlign w:val="center"/>
          </w:tcPr>
          <w:p>
            <w:pPr>
              <w:adjustRightInd w:val="0"/>
              <w:snapToGrid w:val="0"/>
              <w:jc w:val="center"/>
              <w:rPr>
                <w:rFonts w:hint="eastAsia" w:eastAsia="宋体"/>
                <w:b/>
                <w:bCs/>
                <w:color w:val="000000"/>
                <w:szCs w:val="21"/>
                <w:u w:val="single"/>
                <w:lang w:val="en-US" w:eastAsia="zh-CN"/>
              </w:rPr>
            </w:pPr>
            <w:r>
              <w:rPr>
                <w:rFonts w:hint="eastAsia"/>
                <w:b/>
                <w:bCs/>
                <w:color w:val="000000"/>
                <w:szCs w:val="21"/>
                <w:u w:val="single"/>
                <w:lang w:val="en-US" w:eastAsia="zh-CN"/>
              </w:rPr>
              <w:t>压滤料库暂存，定期外售给陶瓷生产厂家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adjustRightInd w:val="0"/>
              <w:snapToGrid w:val="0"/>
              <w:jc w:val="center"/>
              <w:rPr>
                <w:color w:val="000000"/>
                <w:szCs w:val="21"/>
              </w:rPr>
            </w:pPr>
            <w:r>
              <w:rPr>
                <w:rFonts w:hint="eastAsia"/>
                <w:color w:val="000000"/>
                <w:szCs w:val="21"/>
              </w:rPr>
              <w:t>废机油、</w:t>
            </w:r>
          </w:p>
          <w:p>
            <w:pPr>
              <w:adjustRightInd w:val="0"/>
              <w:snapToGrid w:val="0"/>
              <w:jc w:val="center"/>
              <w:rPr>
                <w:rFonts w:cs="宋体"/>
                <w:szCs w:val="21"/>
              </w:rPr>
            </w:pPr>
            <w:r>
              <w:rPr>
                <w:rFonts w:hint="eastAsia"/>
                <w:color w:val="000000"/>
                <w:szCs w:val="21"/>
              </w:rPr>
              <w:t>废润滑油</w:t>
            </w:r>
          </w:p>
        </w:tc>
        <w:tc>
          <w:tcPr>
            <w:tcW w:w="5725" w:type="dxa"/>
            <w:gridSpan w:val="5"/>
            <w:vAlign w:val="center"/>
          </w:tcPr>
          <w:p>
            <w:pPr>
              <w:adjustRightInd w:val="0"/>
              <w:snapToGrid w:val="0"/>
              <w:jc w:val="center"/>
              <w:rPr>
                <w:rFonts w:cs="宋体"/>
                <w:szCs w:val="21"/>
              </w:rPr>
            </w:pPr>
            <w:r>
              <w:rPr>
                <w:rFonts w:hint="eastAsia"/>
                <w:color w:val="000000"/>
                <w:szCs w:val="21"/>
              </w:rPr>
              <w:t>在危险废物暂存间（10m</w:t>
            </w:r>
            <w:r>
              <w:rPr>
                <w:rFonts w:hint="eastAsia"/>
                <w:color w:val="000000"/>
                <w:szCs w:val="21"/>
                <w:vertAlign w:val="superscript"/>
              </w:rPr>
              <w:t>2</w:t>
            </w:r>
            <w:r>
              <w:rPr>
                <w:rFonts w:hint="eastAsia"/>
                <w:color w:val="000000"/>
                <w:szCs w:val="21"/>
              </w:rPr>
              <w:t>）暂存后，由有资质单位处置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Merge w:val="continue"/>
            <w:vAlign w:val="center"/>
          </w:tcPr>
          <w:p>
            <w:pPr>
              <w:adjustRightInd w:val="0"/>
              <w:snapToGrid w:val="0"/>
              <w:jc w:val="center"/>
              <w:rPr>
                <w:rFonts w:cs="宋体"/>
                <w:szCs w:val="21"/>
              </w:rPr>
            </w:pPr>
          </w:p>
        </w:tc>
        <w:tc>
          <w:tcPr>
            <w:tcW w:w="2007" w:type="dxa"/>
            <w:gridSpan w:val="2"/>
            <w:vAlign w:val="center"/>
          </w:tcPr>
          <w:p>
            <w:pPr>
              <w:adjustRightInd w:val="0"/>
              <w:snapToGrid w:val="0"/>
              <w:jc w:val="center"/>
              <w:rPr>
                <w:rFonts w:cs="宋体"/>
                <w:szCs w:val="21"/>
              </w:rPr>
            </w:pPr>
            <w:r>
              <w:rPr>
                <w:rFonts w:hint="eastAsia"/>
                <w:szCs w:val="21"/>
              </w:rPr>
              <w:t>生活垃圾</w:t>
            </w:r>
          </w:p>
        </w:tc>
        <w:tc>
          <w:tcPr>
            <w:tcW w:w="5725" w:type="dxa"/>
            <w:gridSpan w:val="5"/>
            <w:vAlign w:val="center"/>
          </w:tcPr>
          <w:p>
            <w:pPr>
              <w:adjustRightInd w:val="0"/>
              <w:snapToGrid w:val="0"/>
              <w:jc w:val="center"/>
              <w:rPr>
                <w:rFonts w:cs="宋体"/>
                <w:szCs w:val="21"/>
              </w:rPr>
            </w:pPr>
            <w:r>
              <w:rPr>
                <w:rFonts w:hint="eastAsia" w:cs="宋体"/>
                <w:szCs w:val="21"/>
              </w:rPr>
              <w:t>垃圾桶或垃圾箱分类收集后，交由环卫部门处置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Align w:val="center"/>
          </w:tcPr>
          <w:p>
            <w:pPr>
              <w:adjustRightInd w:val="0"/>
              <w:snapToGrid w:val="0"/>
              <w:jc w:val="center"/>
              <w:rPr>
                <w:rFonts w:cs="宋体"/>
                <w:szCs w:val="21"/>
              </w:rPr>
            </w:pPr>
            <w:r>
              <w:rPr>
                <w:rFonts w:hint="eastAsia" w:cs="宋体"/>
                <w:szCs w:val="21"/>
              </w:rPr>
              <w:t>土壤及地下水污染防治措施</w:t>
            </w:r>
          </w:p>
        </w:tc>
        <w:tc>
          <w:tcPr>
            <w:tcW w:w="7732" w:type="dxa"/>
            <w:gridSpan w:val="7"/>
            <w:vAlign w:val="center"/>
          </w:tcPr>
          <w:p>
            <w:pPr>
              <w:adjustRightInd w:val="0"/>
              <w:snapToGrid w:val="0"/>
              <w:ind w:firstLine="420" w:firstLineChars="200"/>
              <w:rPr>
                <w:szCs w:val="21"/>
              </w:rPr>
            </w:pPr>
            <w:r>
              <w:rPr>
                <w:rFonts w:hint="eastAsia"/>
                <w:szCs w:val="21"/>
              </w:rPr>
              <w:t>危废暂存间进行重点防渗；生产车间、办公区、厂区道路</w:t>
            </w:r>
            <w:r>
              <w:rPr>
                <w:rFonts w:hint="eastAsia"/>
                <w:szCs w:val="21"/>
                <w:lang w:val="en-US" w:eastAsia="zh-CN"/>
              </w:rPr>
              <w:t>等</w:t>
            </w:r>
            <w:r>
              <w:rPr>
                <w:rFonts w:hint="eastAsia"/>
                <w:szCs w:val="21"/>
              </w:rPr>
              <w:t>简单防渗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Align w:val="center"/>
          </w:tcPr>
          <w:p>
            <w:pPr>
              <w:adjustRightInd w:val="0"/>
              <w:snapToGrid w:val="0"/>
              <w:jc w:val="center"/>
              <w:rPr>
                <w:rFonts w:cs="宋体"/>
                <w:szCs w:val="21"/>
              </w:rPr>
            </w:pPr>
            <w:r>
              <w:rPr>
                <w:rFonts w:hint="eastAsia" w:cs="宋体"/>
                <w:szCs w:val="21"/>
              </w:rPr>
              <w:t>生态保护措施</w:t>
            </w:r>
          </w:p>
        </w:tc>
        <w:tc>
          <w:tcPr>
            <w:tcW w:w="7732" w:type="dxa"/>
            <w:gridSpan w:val="7"/>
            <w:vAlign w:val="center"/>
          </w:tcPr>
          <w:p>
            <w:pPr>
              <w:adjustRightInd w:val="0"/>
              <w:snapToGrid w:val="0"/>
              <w:ind w:firstLine="422" w:firstLineChars="200"/>
              <w:jc w:val="center"/>
              <w:rPr>
                <w:rFonts w:cs="宋体"/>
                <w:szCs w:val="21"/>
              </w:rPr>
            </w:pPr>
            <w:r>
              <w:rPr>
                <w:rFonts w:hint="eastAsia"/>
                <w:b/>
                <w:bCs/>
                <w:szCs w:val="21"/>
                <w:u w:val="single"/>
              </w:rPr>
              <w:t>厂区道路、生产车间地面硬化，空闲地带绿化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Align w:val="center"/>
          </w:tcPr>
          <w:p>
            <w:pPr>
              <w:adjustRightInd w:val="0"/>
              <w:snapToGrid w:val="0"/>
              <w:jc w:val="center"/>
              <w:rPr>
                <w:rFonts w:cs="宋体"/>
                <w:spacing w:val="-8"/>
                <w:szCs w:val="21"/>
              </w:rPr>
            </w:pPr>
            <w:r>
              <w:rPr>
                <w:rFonts w:hint="eastAsia" w:cs="宋体"/>
                <w:spacing w:val="-8"/>
                <w:szCs w:val="21"/>
              </w:rPr>
              <w:t>环境风险</w:t>
            </w:r>
          </w:p>
          <w:p>
            <w:pPr>
              <w:adjustRightInd w:val="0"/>
              <w:snapToGrid w:val="0"/>
              <w:jc w:val="center"/>
              <w:rPr>
                <w:rFonts w:cs="宋体"/>
                <w:spacing w:val="-8"/>
                <w:szCs w:val="21"/>
              </w:rPr>
            </w:pPr>
            <w:r>
              <w:rPr>
                <w:rFonts w:hint="eastAsia" w:cs="宋体"/>
                <w:spacing w:val="-8"/>
                <w:szCs w:val="21"/>
              </w:rPr>
              <w:t>防范措施</w:t>
            </w:r>
          </w:p>
        </w:tc>
        <w:tc>
          <w:tcPr>
            <w:tcW w:w="7732" w:type="dxa"/>
            <w:gridSpan w:val="7"/>
            <w:vAlign w:val="center"/>
          </w:tcPr>
          <w:p>
            <w:pPr>
              <w:pStyle w:val="7"/>
              <w:ind w:firstLine="210"/>
            </w:pPr>
            <w:r>
              <w:rPr>
                <w:rFonts w:hint="eastAsia"/>
                <w:color w:val="000000"/>
                <w:szCs w:val="21"/>
              </w:rPr>
              <w:t>设置消防器材、消防废水池（40m</w:t>
            </w:r>
            <w:r>
              <w:rPr>
                <w:rFonts w:hint="eastAsia"/>
                <w:color w:val="000000"/>
                <w:szCs w:val="21"/>
                <w:vertAlign w:val="superscript"/>
              </w:rPr>
              <w:t>3</w:t>
            </w:r>
            <w:r>
              <w:rPr>
                <w:rFonts w:hint="eastAsia"/>
                <w:color w:val="000000"/>
                <w:szCs w:val="21"/>
              </w:rPr>
              <w:t>）、防爆电气设备、制定环境风险应急预案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84" w:type="dxa"/>
            <w:vAlign w:val="center"/>
          </w:tcPr>
          <w:p>
            <w:pPr>
              <w:adjustRightInd w:val="0"/>
              <w:snapToGrid w:val="0"/>
              <w:jc w:val="center"/>
              <w:rPr>
                <w:rFonts w:cs="宋体"/>
                <w:spacing w:val="-8"/>
                <w:szCs w:val="21"/>
              </w:rPr>
            </w:pPr>
            <w:r>
              <w:rPr>
                <w:rFonts w:hint="eastAsia" w:cs="宋体"/>
                <w:spacing w:val="-8"/>
                <w:szCs w:val="21"/>
              </w:rPr>
              <w:t>其他环境</w:t>
            </w:r>
          </w:p>
          <w:p>
            <w:pPr>
              <w:adjustRightInd w:val="0"/>
              <w:snapToGrid w:val="0"/>
              <w:jc w:val="center"/>
              <w:rPr>
                <w:rFonts w:cs="宋体"/>
                <w:spacing w:val="-8"/>
                <w:szCs w:val="21"/>
              </w:rPr>
            </w:pPr>
            <w:r>
              <w:rPr>
                <w:rFonts w:hint="eastAsia" w:cs="宋体"/>
                <w:spacing w:val="-8"/>
                <w:szCs w:val="21"/>
              </w:rPr>
              <w:t>管理要求</w:t>
            </w:r>
          </w:p>
        </w:tc>
        <w:tc>
          <w:tcPr>
            <w:tcW w:w="7732" w:type="dxa"/>
            <w:gridSpan w:val="7"/>
            <w:vAlign w:val="center"/>
          </w:tcPr>
          <w:p>
            <w:pPr>
              <w:adjustRightInd w:val="0"/>
              <w:snapToGrid w:val="0"/>
              <w:jc w:val="center"/>
              <w:rPr>
                <w:rFonts w:hint="eastAsia" w:ascii="宋体" w:hAnsi="宋体" w:eastAsia="宋体"/>
                <w:lang w:val="en-US" w:eastAsia="zh-CN"/>
              </w:rPr>
            </w:pPr>
            <w:r>
              <w:rPr>
                <w:rFonts w:hint="eastAsia" w:ascii="宋体" w:hAnsi="宋体"/>
                <w:lang w:val="en-US" w:eastAsia="zh-CN"/>
              </w:rPr>
              <w:t>/</w:t>
            </w:r>
          </w:p>
        </w:tc>
      </w:tr>
    </w:tbl>
    <w:p>
      <w:pPr>
        <w:pStyle w:val="21"/>
        <w:jc w:val="center"/>
        <w:outlineLvl w:val="0"/>
        <w:rPr>
          <w:rFonts w:ascii="Times New Roman" w:hAnsi="Times New Roman"/>
          <w:snapToGrid w:val="0"/>
          <w:sz w:val="30"/>
          <w:szCs w:val="30"/>
        </w:rPr>
      </w:pPr>
      <w:r>
        <w:rPr>
          <w:rFonts w:ascii="Times New Roman" w:hAnsi="Times New Roman"/>
          <w:snapToGrid w:val="0"/>
        </w:rPr>
        <w:br w:type="page"/>
      </w:r>
      <w:r>
        <w:rPr>
          <w:rFonts w:hint="eastAsia" w:ascii="Times New Roman" w:hAnsi="Times New Roman"/>
          <w:b/>
          <w:bCs/>
          <w:snapToGrid w:val="0"/>
          <w:sz w:val="30"/>
          <w:szCs w:val="30"/>
        </w:rPr>
        <w:t>六、结论</w:t>
      </w:r>
    </w:p>
    <w:tbl>
      <w:tblPr>
        <w:tblStyle w:val="26"/>
        <w:tblW w:w="886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991" w:hRule="atLeast"/>
          <w:jc w:val="center"/>
        </w:trPr>
        <w:tc>
          <w:tcPr>
            <w:tcW w:w="8865" w:type="dxa"/>
            <w:vAlign w:val="center"/>
          </w:tcPr>
          <w:p>
            <w:pPr>
              <w:spacing w:line="500" w:lineRule="exact"/>
              <w:ind w:firstLine="482" w:firstLineChars="200"/>
              <w:rPr>
                <w:b/>
                <w:color w:val="FF0000"/>
                <w:sz w:val="24"/>
              </w:rPr>
            </w:pPr>
            <w:r>
              <w:rPr>
                <w:rFonts w:hint="eastAsia"/>
                <w:b/>
                <w:sz w:val="24"/>
              </w:rPr>
              <w:t>河南省成丰新型材料科技有限公司年产8万吨新型材料加工项目符合国家产业政策，在采取相应的治理措施后，本项目在运行过程中产生的各种污染因素可达到相关环境标准和环保法规的要求，对周围水环境、大气环境、声环境的影响较小。在本项目实施过程中，必须严格落实本评价提出的各项污染防治措施和相关管理规定，确保环保设施正常运转。在此前提下，从环境保护角度考虑，项目建设是可行的。</w:t>
            </w:r>
          </w:p>
        </w:tc>
      </w:tr>
    </w:tbl>
    <w:p>
      <w:pPr>
        <w:sectPr>
          <w:pgSz w:w="11906" w:h="16838"/>
          <w:pgMar w:top="1701" w:right="1531" w:bottom="1701" w:left="1531" w:header="851" w:footer="851" w:gutter="0"/>
          <w:cols w:space="720" w:num="1"/>
          <w:docGrid w:linePitch="312" w:charSpace="0"/>
        </w:sectPr>
      </w:pPr>
    </w:p>
    <w:p>
      <w:pPr>
        <w:pStyle w:val="21"/>
        <w:adjustRightInd w:val="0"/>
        <w:snapToGrid w:val="0"/>
        <w:spacing w:before="0" w:beforeAutospacing="0" w:after="0" w:afterAutospacing="0" w:line="648" w:lineRule="auto"/>
        <w:outlineLvl w:val="0"/>
        <w:rPr>
          <w:rFonts w:ascii="Times New Roman" w:hAnsi="Times New Roman"/>
          <w:snapToGrid w:val="0"/>
          <w:sz w:val="32"/>
          <w:szCs w:val="32"/>
        </w:rPr>
      </w:pPr>
      <w:r>
        <w:rPr>
          <w:rFonts w:hint="eastAsia" w:ascii="Times New Roman" w:hAnsi="Times New Roman"/>
          <w:snapToGrid w:val="0"/>
          <w:sz w:val="32"/>
          <w:szCs w:val="32"/>
        </w:rPr>
        <w:t>附表</w:t>
      </w:r>
    </w:p>
    <w:p>
      <w:pPr>
        <w:pStyle w:val="21"/>
        <w:adjustRightInd w:val="0"/>
        <w:snapToGrid w:val="0"/>
        <w:spacing w:before="0" w:beforeAutospacing="0" w:after="0" w:afterAutospacing="0" w:line="360" w:lineRule="auto"/>
        <w:jc w:val="center"/>
        <w:outlineLvl w:val="0"/>
        <w:rPr>
          <w:rFonts w:ascii="Times New Roman" w:hAnsi="Times New Roman"/>
          <w:snapToGrid w:val="0"/>
          <w:sz w:val="38"/>
          <w:szCs w:val="38"/>
        </w:rPr>
      </w:pPr>
      <w:r>
        <w:rPr>
          <w:rFonts w:hint="eastAsia" w:ascii="Times New Roman" w:hAnsi="Times New Roman"/>
          <w:snapToGrid w:val="0"/>
          <w:sz w:val="38"/>
          <w:szCs w:val="38"/>
        </w:rPr>
        <w:t>建设项目污染物排放量汇总表</w:t>
      </w:r>
    </w:p>
    <w:tbl>
      <w:tblPr>
        <w:tblStyle w:val="26"/>
        <w:tblW w:w="1378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464"/>
        <w:gridCol w:w="1713"/>
        <w:gridCol w:w="1512"/>
        <w:gridCol w:w="14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1588" w:type="dxa"/>
            <w:tcBorders>
              <w:tl2br w:val="single" w:color="auto" w:sz="4" w:space="0"/>
            </w:tcBorders>
            <w:tcMar>
              <w:left w:w="28" w:type="dxa"/>
              <w:right w:w="28" w:type="dxa"/>
            </w:tcMar>
            <w:vAlign w:val="center"/>
          </w:tcPr>
          <w:p>
            <w:pPr>
              <w:pStyle w:val="36"/>
              <w:spacing w:beforeLines="0" w:afterLines="0" w:line="240" w:lineRule="auto"/>
              <w:jc w:val="right"/>
              <w:rPr>
                <w:rFonts w:ascii="Times New Roman" w:cs="宋体"/>
                <w:snapToGrid w:val="0"/>
                <w:color w:val="000000"/>
                <w:spacing w:val="-6"/>
                <w:kern w:val="21"/>
                <w:szCs w:val="21"/>
              </w:rPr>
            </w:pPr>
            <w:r>
              <w:rPr>
                <w:rFonts w:hint="eastAsia" w:ascii="Times New Roman" w:cs="宋体"/>
                <w:snapToGrid w:val="0"/>
                <w:color w:val="000000"/>
                <w:spacing w:val="-6"/>
                <w:kern w:val="21"/>
                <w:szCs w:val="21"/>
              </w:rPr>
              <w:t>项目</w:t>
            </w:r>
          </w:p>
          <w:p>
            <w:pPr>
              <w:pStyle w:val="36"/>
              <w:spacing w:beforeLines="0" w:afterLines="0" w:line="240" w:lineRule="auto"/>
              <w:jc w:val="left"/>
              <w:rPr>
                <w:rFonts w:ascii="Times New Roman" w:cs="宋体"/>
                <w:snapToGrid w:val="0"/>
                <w:color w:val="000000"/>
                <w:spacing w:val="-6"/>
                <w:kern w:val="21"/>
                <w:szCs w:val="21"/>
              </w:rPr>
            </w:pPr>
            <w:r>
              <w:rPr>
                <w:rFonts w:hint="eastAsia" w:ascii="Times New Roman" w:cs="宋体"/>
                <w:snapToGrid w:val="0"/>
                <w:color w:val="000000"/>
                <w:spacing w:val="-6"/>
                <w:kern w:val="21"/>
                <w:szCs w:val="21"/>
              </w:rPr>
              <w:t>分类</w:t>
            </w:r>
          </w:p>
        </w:tc>
        <w:tc>
          <w:tcPr>
            <w:tcW w:w="1417" w:type="dxa"/>
            <w:tcMar>
              <w:left w:w="28" w:type="dxa"/>
              <w:right w:w="28" w:type="dxa"/>
            </w:tcMar>
            <w:vAlign w:val="center"/>
          </w:tcPr>
          <w:p>
            <w:pPr>
              <w:pStyle w:val="36"/>
              <w:spacing w:beforeLines="0" w:afterLines="0" w:line="240" w:lineRule="auto"/>
              <w:rPr>
                <w:rFonts w:ascii="Times New Roman" w:cs="宋体"/>
                <w:snapToGrid w:val="0"/>
                <w:color w:val="000000"/>
                <w:spacing w:val="-6"/>
                <w:kern w:val="21"/>
                <w:szCs w:val="21"/>
              </w:rPr>
            </w:pPr>
            <w:r>
              <w:rPr>
                <w:rFonts w:hint="eastAsia" w:ascii="Times New Roman" w:cs="宋体"/>
                <w:snapToGrid w:val="0"/>
                <w:color w:val="000000"/>
                <w:spacing w:val="-6"/>
                <w:kern w:val="21"/>
                <w:szCs w:val="21"/>
              </w:rPr>
              <w:t>污染物名称</w:t>
            </w:r>
          </w:p>
        </w:tc>
        <w:tc>
          <w:tcPr>
            <w:tcW w:w="1701" w:type="dxa"/>
            <w:tcMar>
              <w:left w:w="28" w:type="dxa"/>
              <w:right w:w="28" w:type="dxa"/>
            </w:tcMar>
            <w:vAlign w:val="center"/>
          </w:tcPr>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现有工程</w:t>
            </w:r>
          </w:p>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排放量（固</w:t>
            </w:r>
            <w:r>
              <w:rPr>
                <w:rFonts w:hint="eastAsia" w:ascii="Times New Roman"/>
                <w:snapToGrid w:val="0"/>
                <w:color w:val="000000"/>
                <w:spacing w:val="-6"/>
                <w:kern w:val="21"/>
                <w:szCs w:val="21"/>
              </w:rPr>
              <w:t>体</w:t>
            </w:r>
            <w:r>
              <w:rPr>
                <w:rFonts w:ascii="Times New Roman"/>
                <w:snapToGrid w:val="0"/>
                <w:color w:val="000000"/>
                <w:spacing w:val="-6"/>
                <w:kern w:val="21"/>
                <w:szCs w:val="21"/>
              </w:rPr>
              <w:t>废</w:t>
            </w:r>
            <w:r>
              <w:rPr>
                <w:rFonts w:hint="eastAsia" w:ascii="Times New Roman"/>
                <w:snapToGrid w:val="0"/>
                <w:color w:val="000000"/>
                <w:spacing w:val="-6"/>
                <w:kern w:val="21"/>
                <w:szCs w:val="21"/>
              </w:rPr>
              <w:t>物</w:t>
            </w:r>
            <w:r>
              <w:rPr>
                <w:rFonts w:ascii="Times New Roman"/>
                <w:snapToGrid w:val="0"/>
                <w:color w:val="000000"/>
                <w:spacing w:val="-6"/>
                <w:kern w:val="21"/>
                <w:szCs w:val="21"/>
              </w:rPr>
              <w:t>产生量）</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ascii="Times New Roman" w:cs="宋体"/>
                <w:kern w:val="2"/>
                <w:szCs w:val="21"/>
              </w:rPr>
              <w:t>①</w:t>
            </w:r>
            <w:r>
              <w:rPr>
                <w:rFonts w:ascii="Times New Roman"/>
                <w:snapToGrid w:val="0"/>
                <w:color w:val="000000"/>
                <w:spacing w:val="-6"/>
                <w:kern w:val="21"/>
                <w:szCs w:val="21"/>
              </w:rPr>
              <w:fldChar w:fldCharType="end"/>
            </w:r>
          </w:p>
        </w:tc>
        <w:tc>
          <w:tcPr>
            <w:tcW w:w="1276" w:type="dxa"/>
            <w:tcMar>
              <w:left w:w="28" w:type="dxa"/>
              <w:right w:w="28" w:type="dxa"/>
            </w:tcMar>
            <w:vAlign w:val="center"/>
          </w:tcPr>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现有工程</w:t>
            </w:r>
          </w:p>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许可排放量</w:t>
            </w:r>
          </w:p>
          <w:p>
            <w:pPr>
              <w:pStyle w:val="36"/>
              <w:spacing w:beforeLines="0" w:afterLines="0"/>
              <w:rPr>
                <w:rFonts w:ascii="Times New Roman"/>
                <w:snapToGrid w:val="0"/>
                <w:color w:val="000000"/>
                <w:spacing w:val="-6"/>
                <w:kern w:val="21"/>
                <w:szCs w:val="21"/>
              </w:rPr>
            </w:pP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2 \* GB3 \* MERGEFORMAT </w:instrText>
            </w:r>
            <w:r>
              <w:rPr>
                <w:rFonts w:ascii="Times New Roman"/>
                <w:snapToGrid w:val="0"/>
                <w:color w:val="000000"/>
                <w:spacing w:val="-6"/>
                <w:kern w:val="21"/>
                <w:szCs w:val="21"/>
              </w:rPr>
              <w:fldChar w:fldCharType="separate"/>
            </w:r>
            <w:r>
              <w:rPr>
                <w:rFonts w:hint="eastAsia" w:ascii="Times New Roman" w:cs="宋体"/>
                <w:snapToGrid w:val="0"/>
                <w:color w:val="000000"/>
                <w:spacing w:val="-6"/>
                <w:kern w:val="21"/>
                <w:szCs w:val="21"/>
              </w:rPr>
              <w:t>②</w:t>
            </w:r>
            <w:r>
              <w:rPr>
                <w:rFonts w:ascii="Times New Roman"/>
                <w:snapToGrid w:val="0"/>
                <w:color w:val="000000"/>
                <w:spacing w:val="-6"/>
                <w:kern w:val="21"/>
                <w:szCs w:val="21"/>
              </w:rPr>
              <w:fldChar w:fldCharType="end"/>
            </w:r>
          </w:p>
        </w:tc>
        <w:tc>
          <w:tcPr>
            <w:tcW w:w="1701" w:type="dxa"/>
            <w:tcMar>
              <w:left w:w="28" w:type="dxa"/>
              <w:right w:w="28" w:type="dxa"/>
            </w:tcMar>
            <w:vAlign w:val="center"/>
          </w:tcPr>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在建工程</w:t>
            </w:r>
          </w:p>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排放量（固</w:t>
            </w:r>
            <w:r>
              <w:rPr>
                <w:rFonts w:hint="eastAsia" w:ascii="Times New Roman"/>
                <w:snapToGrid w:val="0"/>
                <w:color w:val="000000"/>
                <w:spacing w:val="-6"/>
                <w:kern w:val="21"/>
                <w:szCs w:val="21"/>
              </w:rPr>
              <w:t>体</w:t>
            </w:r>
            <w:r>
              <w:rPr>
                <w:rFonts w:ascii="Times New Roman"/>
                <w:snapToGrid w:val="0"/>
                <w:color w:val="000000"/>
                <w:spacing w:val="-6"/>
                <w:kern w:val="21"/>
                <w:szCs w:val="21"/>
              </w:rPr>
              <w:t>废</w:t>
            </w:r>
            <w:r>
              <w:rPr>
                <w:rFonts w:hint="eastAsia" w:ascii="Times New Roman"/>
                <w:snapToGrid w:val="0"/>
                <w:color w:val="000000"/>
                <w:spacing w:val="-6"/>
                <w:kern w:val="21"/>
                <w:szCs w:val="21"/>
              </w:rPr>
              <w:t>物</w:t>
            </w:r>
            <w:r>
              <w:rPr>
                <w:rFonts w:ascii="Times New Roman"/>
                <w:snapToGrid w:val="0"/>
                <w:color w:val="000000"/>
                <w:spacing w:val="-6"/>
                <w:kern w:val="21"/>
                <w:szCs w:val="21"/>
              </w:rPr>
              <w:t>产生量）</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hint="eastAsia" w:ascii="Times New Roman" w:cs="宋体"/>
                <w:kern w:val="2"/>
                <w:szCs w:val="21"/>
              </w:rPr>
              <w:t>③</w:t>
            </w:r>
            <w:r>
              <w:rPr>
                <w:rFonts w:ascii="Times New Roman"/>
                <w:snapToGrid w:val="0"/>
                <w:color w:val="000000"/>
                <w:spacing w:val="-6"/>
                <w:kern w:val="21"/>
                <w:szCs w:val="21"/>
              </w:rPr>
              <w:fldChar w:fldCharType="end"/>
            </w:r>
          </w:p>
        </w:tc>
        <w:tc>
          <w:tcPr>
            <w:tcW w:w="1464" w:type="dxa"/>
            <w:tcMar>
              <w:left w:w="28" w:type="dxa"/>
              <w:right w:w="28" w:type="dxa"/>
            </w:tcMar>
            <w:vAlign w:val="center"/>
          </w:tcPr>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本项目</w:t>
            </w:r>
          </w:p>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排放量（固</w:t>
            </w:r>
            <w:r>
              <w:rPr>
                <w:rFonts w:hint="eastAsia" w:ascii="Times New Roman"/>
                <w:snapToGrid w:val="0"/>
                <w:color w:val="000000"/>
                <w:spacing w:val="-6"/>
                <w:kern w:val="21"/>
                <w:szCs w:val="21"/>
              </w:rPr>
              <w:t>体</w:t>
            </w:r>
            <w:r>
              <w:rPr>
                <w:rFonts w:ascii="Times New Roman"/>
                <w:snapToGrid w:val="0"/>
                <w:color w:val="000000"/>
                <w:spacing w:val="-6"/>
                <w:kern w:val="21"/>
                <w:szCs w:val="21"/>
              </w:rPr>
              <w:t>废</w:t>
            </w:r>
            <w:r>
              <w:rPr>
                <w:rFonts w:hint="eastAsia" w:ascii="Times New Roman"/>
                <w:snapToGrid w:val="0"/>
                <w:color w:val="000000"/>
                <w:spacing w:val="-6"/>
                <w:kern w:val="21"/>
                <w:szCs w:val="21"/>
              </w:rPr>
              <w:t>物</w:t>
            </w:r>
            <w:r>
              <w:rPr>
                <w:rFonts w:ascii="Times New Roman"/>
                <w:snapToGrid w:val="0"/>
                <w:color w:val="000000"/>
                <w:spacing w:val="-6"/>
                <w:kern w:val="21"/>
                <w:szCs w:val="21"/>
              </w:rPr>
              <w:t>产生量）</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hint="eastAsia" w:ascii="Times New Roman" w:cs="宋体"/>
                <w:kern w:val="2"/>
                <w:szCs w:val="21"/>
              </w:rPr>
              <w:t>④</w:t>
            </w:r>
            <w:r>
              <w:rPr>
                <w:rFonts w:ascii="Times New Roman"/>
                <w:snapToGrid w:val="0"/>
                <w:color w:val="000000"/>
                <w:spacing w:val="-6"/>
                <w:kern w:val="21"/>
                <w:szCs w:val="21"/>
              </w:rPr>
              <w:fldChar w:fldCharType="end"/>
            </w:r>
          </w:p>
        </w:tc>
        <w:tc>
          <w:tcPr>
            <w:tcW w:w="1713" w:type="dxa"/>
            <w:tcMar>
              <w:left w:w="28" w:type="dxa"/>
              <w:right w:w="28" w:type="dxa"/>
            </w:tcMar>
            <w:vAlign w:val="center"/>
          </w:tcPr>
          <w:p>
            <w:pPr>
              <w:pStyle w:val="36"/>
              <w:spacing w:beforeLines="0" w:afterLines="0" w:line="240" w:lineRule="auto"/>
              <w:rPr>
                <w:rFonts w:ascii="Times New Roman"/>
                <w:snapToGrid w:val="0"/>
                <w:color w:val="000000"/>
                <w:spacing w:val="-16"/>
                <w:kern w:val="21"/>
                <w:szCs w:val="21"/>
              </w:rPr>
            </w:pPr>
            <w:r>
              <w:rPr>
                <w:rFonts w:ascii="Times New Roman"/>
                <w:snapToGrid w:val="0"/>
                <w:color w:val="000000"/>
                <w:spacing w:val="-16"/>
                <w:kern w:val="21"/>
                <w:szCs w:val="21"/>
              </w:rPr>
              <w:t>以新带老削减量</w:t>
            </w:r>
          </w:p>
          <w:p>
            <w:pPr>
              <w:pStyle w:val="36"/>
              <w:spacing w:beforeLines="0" w:afterLines="0" w:line="240" w:lineRule="auto"/>
              <w:rPr>
                <w:rFonts w:ascii="Times New Roman"/>
                <w:snapToGrid w:val="0"/>
                <w:color w:val="000000"/>
                <w:spacing w:val="-16"/>
                <w:kern w:val="21"/>
                <w:szCs w:val="21"/>
              </w:rPr>
            </w:pPr>
            <w:r>
              <w:rPr>
                <w:rFonts w:ascii="Times New Roman"/>
                <w:snapToGrid w:val="0"/>
                <w:color w:val="000000"/>
                <w:spacing w:val="-16"/>
                <w:kern w:val="21"/>
                <w:szCs w:val="21"/>
              </w:rPr>
              <w:t>（新建项目不填）</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hint="eastAsia" w:ascii="Times New Roman" w:cs="宋体"/>
                <w:kern w:val="2"/>
                <w:szCs w:val="21"/>
              </w:rPr>
              <w:t>⑤</w:t>
            </w:r>
            <w:r>
              <w:rPr>
                <w:rFonts w:ascii="Times New Roman"/>
                <w:snapToGrid w:val="0"/>
                <w:color w:val="000000"/>
                <w:spacing w:val="-16"/>
                <w:kern w:val="21"/>
                <w:szCs w:val="21"/>
              </w:rPr>
              <w:fldChar w:fldCharType="end"/>
            </w:r>
          </w:p>
        </w:tc>
        <w:tc>
          <w:tcPr>
            <w:tcW w:w="1512" w:type="dxa"/>
            <w:tcMar>
              <w:left w:w="28" w:type="dxa"/>
              <w:right w:w="28" w:type="dxa"/>
            </w:tcMar>
            <w:vAlign w:val="center"/>
          </w:tcPr>
          <w:p>
            <w:pPr>
              <w:pStyle w:val="36"/>
              <w:spacing w:beforeLines="0" w:afterLines="0" w:line="240" w:lineRule="auto"/>
              <w:rPr>
                <w:rFonts w:ascii="Times New Roman"/>
                <w:snapToGrid w:val="0"/>
                <w:color w:val="000000"/>
                <w:spacing w:val="-16"/>
                <w:kern w:val="21"/>
                <w:szCs w:val="21"/>
              </w:rPr>
            </w:pPr>
            <w:r>
              <w:rPr>
                <w:rFonts w:ascii="Times New Roman"/>
                <w:snapToGrid w:val="0"/>
                <w:color w:val="000000"/>
                <w:spacing w:val="-16"/>
                <w:kern w:val="21"/>
                <w:szCs w:val="21"/>
              </w:rPr>
              <w:t>本项目建成后</w:t>
            </w:r>
          </w:p>
          <w:p>
            <w:pPr>
              <w:pStyle w:val="36"/>
              <w:spacing w:beforeLines="0" w:afterLines="0" w:line="240" w:lineRule="auto"/>
              <w:rPr>
                <w:rFonts w:ascii="Times New Roman"/>
                <w:snapToGrid w:val="0"/>
                <w:color w:val="000000"/>
                <w:spacing w:val="-16"/>
                <w:kern w:val="21"/>
                <w:szCs w:val="21"/>
              </w:rPr>
            </w:pPr>
            <w:r>
              <w:rPr>
                <w:rFonts w:hint="eastAsia" w:ascii="Times New Roman"/>
                <w:snapToGrid w:val="0"/>
                <w:color w:val="000000"/>
                <w:spacing w:val="-16"/>
                <w:kern w:val="21"/>
                <w:szCs w:val="21"/>
              </w:rPr>
              <w:t>全厂</w:t>
            </w:r>
            <w:r>
              <w:rPr>
                <w:rFonts w:ascii="Times New Roman"/>
                <w:snapToGrid w:val="0"/>
                <w:color w:val="000000"/>
                <w:spacing w:val="-16"/>
                <w:kern w:val="21"/>
                <w:szCs w:val="21"/>
              </w:rPr>
              <w:t>排放量（固</w:t>
            </w:r>
            <w:r>
              <w:rPr>
                <w:rFonts w:hint="eastAsia" w:ascii="Times New Roman"/>
                <w:snapToGrid w:val="0"/>
                <w:color w:val="000000"/>
                <w:spacing w:val="-16"/>
                <w:kern w:val="21"/>
                <w:szCs w:val="21"/>
              </w:rPr>
              <w:t>体</w:t>
            </w:r>
            <w:r>
              <w:rPr>
                <w:rFonts w:ascii="Times New Roman"/>
                <w:snapToGrid w:val="0"/>
                <w:color w:val="000000"/>
                <w:spacing w:val="-16"/>
                <w:kern w:val="21"/>
                <w:szCs w:val="21"/>
              </w:rPr>
              <w:t>废</w:t>
            </w:r>
            <w:r>
              <w:rPr>
                <w:rFonts w:hint="eastAsia" w:ascii="Times New Roman"/>
                <w:snapToGrid w:val="0"/>
                <w:color w:val="000000"/>
                <w:spacing w:val="-16"/>
                <w:kern w:val="21"/>
                <w:szCs w:val="21"/>
              </w:rPr>
              <w:t>物</w:t>
            </w:r>
            <w:r>
              <w:rPr>
                <w:rFonts w:ascii="Times New Roman"/>
                <w:snapToGrid w:val="0"/>
                <w:color w:val="000000"/>
                <w:spacing w:val="-16"/>
                <w:kern w:val="21"/>
                <w:szCs w:val="21"/>
              </w:rPr>
              <w:t>产生量）</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ascii="Times New Roman" w:cs="宋体"/>
                <w:kern w:val="2"/>
                <w:szCs w:val="21"/>
              </w:rPr>
              <w:t>⑥</w:t>
            </w:r>
            <w:r>
              <w:rPr>
                <w:rFonts w:ascii="Times New Roman"/>
                <w:snapToGrid w:val="0"/>
                <w:color w:val="000000"/>
                <w:spacing w:val="-16"/>
                <w:kern w:val="21"/>
                <w:szCs w:val="21"/>
              </w:rPr>
              <w:fldChar w:fldCharType="end"/>
            </w:r>
          </w:p>
        </w:tc>
        <w:tc>
          <w:tcPr>
            <w:tcW w:w="1416" w:type="dxa"/>
            <w:tcMar>
              <w:left w:w="28" w:type="dxa"/>
              <w:right w:w="28" w:type="dxa"/>
            </w:tcMar>
            <w:vAlign w:val="center"/>
          </w:tcPr>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t>变化量</w:t>
            </w:r>
          </w:p>
          <w:p>
            <w:pPr>
              <w:pStyle w:val="36"/>
              <w:spacing w:beforeLines="0" w:afterLines="0" w:line="240" w:lineRule="auto"/>
              <w:rPr>
                <w:rFonts w:ascii="Times New Roman"/>
                <w:snapToGrid w:val="0"/>
                <w:color w:val="000000"/>
                <w:spacing w:val="-6"/>
                <w:kern w:val="21"/>
                <w:szCs w:val="21"/>
              </w:rPr>
            </w:pP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hint="eastAsia" w:ascii="Times New Roman" w:cs="宋体"/>
                <w:kern w:val="2"/>
                <w:szCs w:val="21"/>
              </w:rPr>
              <w:t>⑦</w:t>
            </w:r>
            <w:r>
              <w:rPr>
                <w:rFonts w:ascii="Times New Roman"/>
                <w:snapToGrid w:val="0"/>
                <w:color w:val="000000"/>
                <w:spacing w:val="-6"/>
                <w:kern w:val="21"/>
                <w:szCs w:val="21"/>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1588" w:type="dxa"/>
            <w:vMerge w:val="restart"/>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废气</w:t>
            </w:r>
          </w:p>
        </w:tc>
        <w:tc>
          <w:tcPr>
            <w:tcW w:w="1417"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颗粒物</w:t>
            </w: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276" w:type="dxa"/>
            <w:vAlign w:val="center"/>
          </w:tcPr>
          <w:p>
            <w:pPr>
              <w:pStyle w:val="36"/>
              <w:spacing w:beforeLines="0" w:afterLines="0" w:line="240" w:lineRule="auto"/>
              <w:rPr>
                <w:rFonts w:ascii="Times New Roman" w:cs="宋体"/>
                <w:snapToGrid w:val="0"/>
                <w:color w:val="000000"/>
                <w:kern w:val="21"/>
                <w:szCs w:val="21"/>
              </w:rPr>
            </w:pP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464"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w:t>
            </w:r>
            <w:r>
              <w:rPr>
                <w:rFonts w:hint="eastAsia" w:ascii="Times New Roman" w:cs="宋体"/>
                <w:snapToGrid w:val="0"/>
                <w:color w:val="000000"/>
                <w:kern w:val="21"/>
                <w:szCs w:val="21"/>
                <w:lang w:val="en-US" w:eastAsia="zh-CN"/>
              </w:rPr>
              <w:t>6128</w:t>
            </w:r>
            <w:r>
              <w:rPr>
                <w:rFonts w:hint="eastAsia" w:ascii="Times New Roman" w:cs="宋体"/>
                <w:snapToGrid w:val="0"/>
                <w:color w:val="000000"/>
                <w:kern w:val="21"/>
                <w:szCs w:val="21"/>
              </w:rPr>
              <w:t>t/a</w:t>
            </w:r>
          </w:p>
        </w:tc>
        <w:tc>
          <w:tcPr>
            <w:tcW w:w="1713" w:type="dxa"/>
            <w:vAlign w:val="center"/>
          </w:tcPr>
          <w:p>
            <w:pPr>
              <w:pStyle w:val="36"/>
              <w:spacing w:beforeLines="0" w:afterLines="0" w:line="240" w:lineRule="auto"/>
              <w:rPr>
                <w:rFonts w:ascii="Times New Roman" w:cs="宋体"/>
                <w:snapToGrid w:val="0"/>
                <w:color w:val="000000"/>
                <w:kern w:val="21"/>
                <w:szCs w:val="21"/>
              </w:rPr>
            </w:pPr>
          </w:p>
        </w:tc>
        <w:tc>
          <w:tcPr>
            <w:tcW w:w="1512"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w:t>
            </w:r>
            <w:r>
              <w:rPr>
                <w:rFonts w:hint="eastAsia" w:ascii="Times New Roman" w:cs="宋体"/>
                <w:snapToGrid w:val="0"/>
                <w:color w:val="000000"/>
                <w:kern w:val="21"/>
                <w:szCs w:val="21"/>
                <w:lang w:val="en-US" w:eastAsia="zh-CN"/>
              </w:rPr>
              <w:t>6128</w:t>
            </w:r>
            <w:r>
              <w:rPr>
                <w:rFonts w:hint="eastAsia" w:ascii="Times New Roman" w:cs="宋体"/>
                <w:snapToGrid w:val="0"/>
                <w:color w:val="000000"/>
                <w:kern w:val="21"/>
                <w:szCs w:val="21"/>
              </w:rPr>
              <w:t>t/a</w:t>
            </w:r>
          </w:p>
        </w:tc>
        <w:tc>
          <w:tcPr>
            <w:tcW w:w="1416"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w:t>
            </w:r>
            <w:r>
              <w:rPr>
                <w:rFonts w:hint="eastAsia" w:ascii="Times New Roman" w:cs="宋体"/>
                <w:snapToGrid w:val="0"/>
                <w:color w:val="000000"/>
                <w:kern w:val="21"/>
                <w:szCs w:val="21"/>
                <w:lang w:val="en-US" w:eastAsia="zh-CN"/>
              </w:rPr>
              <w:t>6128</w:t>
            </w:r>
            <w:r>
              <w:rPr>
                <w:rFonts w:hint="eastAsia" w:ascii="Times New Roman" w:cs="宋体"/>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1588" w:type="dxa"/>
            <w:vMerge w:val="continue"/>
            <w:vAlign w:val="center"/>
          </w:tcPr>
          <w:p>
            <w:pPr>
              <w:pStyle w:val="36"/>
              <w:spacing w:beforeLines="0" w:afterLines="0" w:line="240" w:lineRule="auto"/>
              <w:rPr>
                <w:rFonts w:ascii="Times New Roman" w:cs="宋体"/>
                <w:snapToGrid w:val="0"/>
                <w:color w:val="000000"/>
                <w:kern w:val="21"/>
                <w:szCs w:val="21"/>
              </w:rPr>
            </w:pPr>
          </w:p>
        </w:tc>
        <w:tc>
          <w:tcPr>
            <w:tcW w:w="1417"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SO</w:t>
            </w:r>
            <w:r>
              <w:rPr>
                <w:rFonts w:hint="eastAsia" w:ascii="Times New Roman" w:cs="宋体"/>
                <w:snapToGrid w:val="0"/>
                <w:color w:val="000000"/>
                <w:kern w:val="21"/>
                <w:szCs w:val="21"/>
                <w:vertAlign w:val="subscript"/>
              </w:rPr>
              <w:t>2</w:t>
            </w: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276" w:type="dxa"/>
            <w:vAlign w:val="center"/>
          </w:tcPr>
          <w:p>
            <w:pPr>
              <w:pStyle w:val="36"/>
              <w:spacing w:beforeLines="0" w:afterLines="0" w:line="240" w:lineRule="auto"/>
              <w:rPr>
                <w:rFonts w:ascii="Times New Roman" w:cs="宋体"/>
                <w:snapToGrid w:val="0"/>
                <w:color w:val="000000"/>
                <w:kern w:val="21"/>
                <w:szCs w:val="21"/>
              </w:rPr>
            </w:pP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464"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0.36t/a</w:t>
            </w:r>
          </w:p>
        </w:tc>
        <w:tc>
          <w:tcPr>
            <w:tcW w:w="1713" w:type="dxa"/>
            <w:vAlign w:val="center"/>
          </w:tcPr>
          <w:p>
            <w:pPr>
              <w:pStyle w:val="36"/>
              <w:spacing w:beforeLines="0" w:afterLines="0" w:line="240" w:lineRule="auto"/>
              <w:rPr>
                <w:rFonts w:ascii="Times New Roman" w:cs="宋体"/>
                <w:snapToGrid w:val="0"/>
                <w:color w:val="000000"/>
                <w:kern w:val="21"/>
                <w:szCs w:val="21"/>
              </w:rPr>
            </w:pPr>
          </w:p>
        </w:tc>
        <w:tc>
          <w:tcPr>
            <w:tcW w:w="1512"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0.36t/a</w:t>
            </w:r>
          </w:p>
        </w:tc>
        <w:tc>
          <w:tcPr>
            <w:tcW w:w="1416"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+0.36t/a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84" w:hRule="atLeast"/>
        </w:trPr>
        <w:tc>
          <w:tcPr>
            <w:tcW w:w="1588" w:type="dxa"/>
            <w:vMerge w:val="continue"/>
            <w:vAlign w:val="center"/>
          </w:tcPr>
          <w:p>
            <w:pPr>
              <w:pStyle w:val="36"/>
              <w:spacing w:beforeLines="0" w:afterLines="0" w:line="240" w:lineRule="auto"/>
              <w:rPr>
                <w:rFonts w:ascii="Times New Roman" w:cs="宋体"/>
                <w:snapToGrid w:val="0"/>
                <w:color w:val="000000"/>
                <w:kern w:val="21"/>
                <w:szCs w:val="21"/>
              </w:rPr>
            </w:pPr>
          </w:p>
        </w:tc>
        <w:tc>
          <w:tcPr>
            <w:tcW w:w="1417"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NOx</w:t>
            </w: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276" w:type="dxa"/>
            <w:vAlign w:val="center"/>
          </w:tcPr>
          <w:p>
            <w:pPr>
              <w:pStyle w:val="36"/>
              <w:spacing w:beforeLines="0" w:afterLines="0" w:line="240" w:lineRule="auto"/>
              <w:rPr>
                <w:rFonts w:ascii="Times New Roman" w:cs="宋体"/>
                <w:snapToGrid w:val="0"/>
                <w:color w:val="000000"/>
                <w:kern w:val="21"/>
                <w:szCs w:val="21"/>
              </w:rPr>
            </w:pP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464"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1.25t/a</w:t>
            </w:r>
          </w:p>
        </w:tc>
        <w:tc>
          <w:tcPr>
            <w:tcW w:w="1713" w:type="dxa"/>
            <w:vAlign w:val="center"/>
          </w:tcPr>
          <w:p>
            <w:pPr>
              <w:pStyle w:val="36"/>
              <w:spacing w:beforeLines="0" w:afterLines="0" w:line="240" w:lineRule="auto"/>
              <w:rPr>
                <w:rFonts w:ascii="Times New Roman" w:cs="宋体"/>
                <w:snapToGrid w:val="0"/>
                <w:color w:val="000000"/>
                <w:kern w:val="21"/>
                <w:szCs w:val="21"/>
              </w:rPr>
            </w:pPr>
          </w:p>
        </w:tc>
        <w:tc>
          <w:tcPr>
            <w:tcW w:w="1512"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1.25t/a</w:t>
            </w:r>
          </w:p>
        </w:tc>
        <w:tc>
          <w:tcPr>
            <w:tcW w:w="1416"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+1.25t/a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588" w:type="dxa"/>
            <w:vMerge w:val="restart"/>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一般工业</w:t>
            </w:r>
          </w:p>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固体废物</w:t>
            </w:r>
          </w:p>
        </w:tc>
        <w:tc>
          <w:tcPr>
            <w:tcW w:w="1417"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szCs w:val="21"/>
              </w:rPr>
              <w:t>除尘器收集的粉尘</w:t>
            </w: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276" w:type="dxa"/>
            <w:vAlign w:val="center"/>
          </w:tcPr>
          <w:p>
            <w:pPr>
              <w:pStyle w:val="36"/>
              <w:spacing w:beforeLines="0" w:afterLines="0" w:line="240" w:lineRule="auto"/>
              <w:rPr>
                <w:rFonts w:ascii="Times New Roman" w:cs="宋体"/>
                <w:snapToGrid w:val="0"/>
                <w:color w:val="000000"/>
                <w:kern w:val="21"/>
                <w:szCs w:val="21"/>
              </w:rPr>
            </w:pP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464"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lang w:val="en-US" w:eastAsia="zh-CN"/>
              </w:rPr>
              <w:t>75.5</w:t>
            </w:r>
            <w:r>
              <w:rPr>
                <w:rFonts w:hint="eastAsia" w:ascii="Times New Roman" w:cs="宋体"/>
                <w:snapToGrid w:val="0"/>
                <w:color w:val="000000"/>
                <w:kern w:val="21"/>
                <w:szCs w:val="21"/>
              </w:rPr>
              <w:t>t/a</w:t>
            </w:r>
          </w:p>
        </w:tc>
        <w:tc>
          <w:tcPr>
            <w:tcW w:w="1713" w:type="dxa"/>
            <w:vAlign w:val="center"/>
          </w:tcPr>
          <w:p>
            <w:pPr>
              <w:pStyle w:val="36"/>
              <w:spacing w:beforeLines="0" w:afterLines="0" w:line="240" w:lineRule="auto"/>
              <w:rPr>
                <w:rFonts w:ascii="Times New Roman" w:cs="宋体"/>
                <w:snapToGrid w:val="0"/>
                <w:color w:val="000000"/>
                <w:kern w:val="21"/>
                <w:szCs w:val="21"/>
              </w:rPr>
            </w:pPr>
          </w:p>
        </w:tc>
        <w:tc>
          <w:tcPr>
            <w:tcW w:w="1512"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lang w:val="en-US" w:eastAsia="zh-CN"/>
              </w:rPr>
              <w:t>75.5</w:t>
            </w:r>
            <w:r>
              <w:rPr>
                <w:rFonts w:hint="eastAsia" w:ascii="Times New Roman" w:cs="宋体"/>
                <w:snapToGrid w:val="0"/>
                <w:color w:val="000000"/>
                <w:kern w:val="21"/>
                <w:szCs w:val="21"/>
              </w:rPr>
              <w:t>t/a</w:t>
            </w:r>
          </w:p>
        </w:tc>
        <w:tc>
          <w:tcPr>
            <w:tcW w:w="1416"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w:t>
            </w:r>
            <w:r>
              <w:rPr>
                <w:rFonts w:hint="eastAsia" w:ascii="Times New Roman" w:cs="宋体"/>
                <w:snapToGrid w:val="0"/>
                <w:color w:val="000000"/>
                <w:kern w:val="21"/>
                <w:szCs w:val="21"/>
                <w:lang w:val="en-US" w:eastAsia="zh-CN"/>
              </w:rPr>
              <w:t>75.5</w:t>
            </w:r>
            <w:r>
              <w:rPr>
                <w:rFonts w:hint="eastAsia" w:ascii="Times New Roman" w:cs="宋体"/>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588" w:type="dxa"/>
            <w:vMerge w:val="continue"/>
            <w:vAlign w:val="center"/>
          </w:tcPr>
          <w:p>
            <w:pPr>
              <w:pStyle w:val="36"/>
              <w:spacing w:beforeLines="0" w:afterLines="0" w:line="240" w:lineRule="auto"/>
              <w:rPr>
                <w:rFonts w:ascii="Times New Roman" w:cs="宋体"/>
                <w:snapToGrid w:val="0"/>
                <w:color w:val="000000"/>
                <w:kern w:val="21"/>
                <w:szCs w:val="21"/>
              </w:rPr>
            </w:pPr>
          </w:p>
        </w:tc>
        <w:tc>
          <w:tcPr>
            <w:tcW w:w="1417"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压</w:t>
            </w:r>
            <w:r>
              <w:rPr>
                <w:rFonts w:hint="eastAsia" w:ascii="Times New Roman" w:cs="宋体"/>
                <w:snapToGrid w:val="0"/>
                <w:color w:val="000000"/>
                <w:kern w:val="21"/>
                <w:szCs w:val="21"/>
                <w:lang w:val="en-US" w:eastAsia="zh-CN"/>
              </w:rPr>
              <w:t>滤</w:t>
            </w:r>
            <w:r>
              <w:rPr>
                <w:rFonts w:hint="eastAsia" w:ascii="Times New Roman" w:cs="宋体"/>
                <w:snapToGrid w:val="0"/>
                <w:color w:val="000000"/>
                <w:kern w:val="21"/>
                <w:szCs w:val="21"/>
              </w:rPr>
              <w:t>料</w:t>
            </w: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276" w:type="dxa"/>
            <w:vAlign w:val="center"/>
          </w:tcPr>
          <w:p>
            <w:pPr>
              <w:pStyle w:val="36"/>
              <w:spacing w:beforeLines="0" w:afterLines="0" w:line="240" w:lineRule="auto"/>
              <w:rPr>
                <w:rFonts w:ascii="Times New Roman" w:cs="宋体"/>
                <w:snapToGrid w:val="0"/>
                <w:color w:val="000000"/>
                <w:kern w:val="21"/>
                <w:szCs w:val="21"/>
              </w:rPr>
            </w:pP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464"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lang w:val="en-US" w:eastAsia="zh-CN"/>
              </w:rPr>
              <w:t>20117.94</w:t>
            </w:r>
            <w:r>
              <w:rPr>
                <w:rFonts w:hint="eastAsia" w:ascii="Times New Roman" w:cs="宋体"/>
                <w:snapToGrid w:val="0"/>
                <w:color w:val="000000"/>
                <w:kern w:val="21"/>
                <w:szCs w:val="21"/>
              </w:rPr>
              <w:t>t/a</w:t>
            </w:r>
          </w:p>
        </w:tc>
        <w:tc>
          <w:tcPr>
            <w:tcW w:w="1713" w:type="dxa"/>
            <w:vAlign w:val="center"/>
          </w:tcPr>
          <w:p>
            <w:pPr>
              <w:pStyle w:val="36"/>
              <w:spacing w:beforeLines="0" w:afterLines="0" w:line="240" w:lineRule="auto"/>
              <w:rPr>
                <w:rFonts w:ascii="Times New Roman" w:cs="宋体"/>
                <w:snapToGrid w:val="0"/>
                <w:color w:val="000000"/>
                <w:kern w:val="21"/>
                <w:szCs w:val="21"/>
              </w:rPr>
            </w:pPr>
          </w:p>
        </w:tc>
        <w:tc>
          <w:tcPr>
            <w:tcW w:w="1512"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lang w:val="en-US" w:eastAsia="zh-CN"/>
              </w:rPr>
              <w:t>20117.94</w:t>
            </w:r>
            <w:r>
              <w:rPr>
                <w:rFonts w:hint="eastAsia" w:ascii="Times New Roman" w:cs="宋体"/>
                <w:snapToGrid w:val="0"/>
                <w:color w:val="000000"/>
                <w:kern w:val="21"/>
                <w:szCs w:val="21"/>
              </w:rPr>
              <w:t>t/a</w:t>
            </w:r>
          </w:p>
        </w:tc>
        <w:tc>
          <w:tcPr>
            <w:tcW w:w="1416"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w:t>
            </w:r>
            <w:r>
              <w:rPr>
                <w:rFonts w:hint="eastAsia" w:ascii="Times New Roman" w:cs="宋体"/>
                <w:snapToGrid w:val="0"/>
                <w:color w:val="000000"/>
                <w:kern w:val="21"/>
                <w:szCs w:val="21"/>
                <w:lang w:val="en-US" w:eastAsia="zh-CN"/>
              </w:rPr>
              <w:t>20117.94</w:t>
            </w:r>
            <w:r>
              <w:rPr>
                <w:rFonts w:hint="eastAsia" w:ascii="Times New Roman" w:cs="宋体"/>
                <w:snapToGrid w:val="0"/>
                <w:color w:val="000000"/>
                <w:kern w:val="21"/>
                <w:szCs w:val="21"/>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1588"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危险废物</w:t>
            </w:r>
          </w:p>
        </w:tc>
        <w:tc>
          <w:tcPr>
            <w:tcW w:w="1417"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废机油、废润滑油</w:t>
            </w: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276" w:type="dxa"/>
            <w:vAlign w:val="center"/>
          </w:tcPr>
          <w:p>
            <w:pPr>
              <w:pStyle w:val="36"/>
              <w:spacing w:beforeLines="0" w:afterLines="0" w:line="240" w:lineRule="auto"/>
              <w:rPr>
                <w:rFonts w:ascii="Times New Roman" w:cs="宋体"/>
                <w:snapToGrid w:val="0"/>
                <w:color w:val="000000"/>
                <w:kern w:val="21"/>
                <w:szCs w:val="21"/>
              </w:rPr>
            </w:pPr>
          </w:p>
        </w:tc>
        <w:tc>
          <w:tcPr>
            <w:tcW w:w="1701" w:type="dxa"/>
            <w:vAlign w:val="center"/>
          </w:tcPr>
          <w:p>
            <w:pPr>
              <w:pStyle w:val="36"/>
              <w:spacing w:beforeLines="0" w:afterLines="0" w:line="240" w:lineRule="auto"/>
              <w:rPr>
                <w:rFonts w:ascii="Times New Roman" w:cs="宋体"/>
                <w:snapToGrid w:val="0"/>
                <w:color w:val="000000"/>
                <w:kern w:val="21"/>
                <w:szCs w:val="21"/>
              </w:rPr>
            </w:pPr>
          </w:p>
        </w:tc>
        <w:tc>
          <w:tcPr>
            <w:tcW w:w="1464"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0.25t/a</w:t>
            </w:r>
          </w:p>
        </w:tc>
        <w:tc>
          <w:tcPr>
            <w:tcW w:w="1713" w:type="dxa"/>
            <w:vAlign w:val="center"/>
          </w:tcPr>
          <w:p>
            <w:pPr>
              <w:pStyle w:val="36"/>
              <w:spacing w:beforeLines="0" w:afterLines="0" w:line="240" w:lineRule="auto"/>
              <w:rPr>
                <w:rFonts w:ascii="Times New Roman" w:cs="宋体"/>
                <w:snapToGrid w:val="0"/>
                <w:color w:val="000000"/>
                <w:kern w:val="21"/>
                <w:szCs w:val="21"/>
              </w:rPr>
            </w:pPr>
          </w:p>
        </w:tc>
        <w:tc>
          <w:tcPr>
            <w:tcW w:w="1512"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0.25t/a</w:t>
            </w:r>
          </w:p>
        </w:tc>
        <w:tc>
          <w:tcPr>
            <w:tcW w:w="1416" w:type="dxa"/>
            <w:vAlign w:val="center"/>
          </w:tcPr>
          <w:p>
            <w:pPr>
              <w:pStyle w:val="36"/>
              <w:spacing w:beforeLines="0" w:afterLines="0" w:line="240" w:lineRule="auto"/>
              <w:rPr>
                <w:rFonts w:ascii="Times New Roman" w:cs="宋体"/>
                <w:snapToGrid w:val="0"/>
                <w:color w:val="000000"/>
                <w:kern w:val="21"/>
                <w:szCs w:val="21"/>
              </w:rPr>
            </w:pPr>
            <w:r>
              <w:rPr>
                <w:rFonts w:hint="eastAsia" w:ascii="Times New Roman" w:cs="宋体"/>
                <w:snapToGrid w:val="0"/>
                <w:color w:val="000000"/>
                <w:kern w:val="21"/>
                <w:szCs w:val="21"/>
              </w:rPr>
              <w:t>+0.25t/a</w:t>
            </w:r>
          </w:p>
        </w:tc>
      </w:tr>
    </w:tbl>
    <w:p>
      <w:pPr>
        <w:pStyle w:val="36"/>
        <w:spacing w:before="192" w:beforeLines="80" w:after="24"/>
        <w:jc w:val="left"/>
        <w:rPr>
          <w:rFonts w:ascii="Times New Roman"/>
        </w:rPr>
      </w:pPr>
      <w:r>
        <w:rPr>
          <w:rFonts w:ascii="Times New Roman"/>
          <w:snapToGrid w:val="0"/>
          <w:color w:val="000000"/>
          <w:kern w:val="21"/>
          <w:szCs w:val="21"/>
        </w:rPr>
        <w:t>注：</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ascii="Times New Roman"/>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ascii="Times New Roman"/>
          <w:szCs w:val="21"/>
        </w:rPr>
        <w:t>①</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3 \* GB3 \* MERGEFORMAT </w:instrText>
      </w:r>
      <w:r>
        <w:rPr>
          <w:rFonts w:ascii="Times New Roman"/>
          <w:snapToGrid w:val="0"/>
          <w:color w:val="000000"/>
          <w:spacing w:val="-6"/>
          <w:kern w:val="21"/>
          <w:szCs w:val="21"/>
        </w:rPr>
        <w:fldChar w:fldCharType="separate"/>
      </w:r>
      <w:r>
        <w:rPr>
          <w:rFonts w:hint="eastAsia" w:ascii="Times New Roman"/>
          <w:szCs w:val="21"/>
        </w:rPr>
        <w:t>③</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4 \* GB3 \* MERGEFORMAT </w:instrText>
      </w:r>
      <w:r>
        <w:rPr>
          <w:rFonts w:ascii="Times New Roman"/>
          <w:snapToGrid w:val="0"/>
          <w:color w:val="000000"/>
          <w:spacing w:val="-6"/>
          <w:kern w:val="21"/>
          <w:szCs w:val="21"/>
        </w:rPr>
        <w:fldChar w:fldCharType="separate"/>
      </w:r>
      <w:r>
        <w:rPr>
          <w:rFonts w:hint="eastAsia" w:ascii="Times New Roman"/>
          <w:szCs w:val="21"/>
        </w:rPr>
        <w:t>④</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5 \* GB3 \* MERGEFORMAT </w:instrText>
      </w:r>
      <w:r>
        <w:rPr>
          <w:rFonts w:ascii="Times New Roman"/>
          <w:snapToGrid w:val="0"/>
          <w:color w:val="000000"/>
          <w:spacing w:val="-16"/>
          <w:kern w:val="21"/>
          <w:szCs w:val="21"/>
        </w:rPr>
        <w:fldChar w:fldCharType="separate"/>
      </w:r>
      <w:r>
        <w:rPr>
          <w:rFonts w:hint="eastAsia" w:ascii="Times New Roman"/>
          <w:szCs w:val="21"/>
        </w:rPr>
        <w:t>⑤</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7 \* GB3 \* MERGEFORMAT </w:instrText>
      </w:r>
      <w:r>
        <w:rPr>
          <w:rFonts w:ascii="Times New Roman"/>
          <w:snapToGrid w:val="0"/>
          <w:color w:val="000000"/>
          <w:spacing w:val="-6"/>
          <w:kern w:val="21"/>
          <w:szCs w:val="21"/>
        </w:rPr>
        <w:fldChar w:fldCharType="separate"/>
      </w:r>
      <w:r>
        <w:rPr>
          <w:rFonts w:hint="eastAsia" w:ascii="Times New Roman"/>
          <w:szCs w:val="21"/>
        </w:rPr>
        <w:t>⑦</w:t>
      </w:r>
      <w:r>
        <w:rPr>
          <w:rFonts w:ascii="Times New Roman"/>
          <w:snapToGrid w:val="0"/>
          <w:color w:val="000000"/>
          <w:spacing w:val="-6"/>
          <w:kern w:val="21"/>
          <w:szCs w:val="21"/>
        </w:rPr>
        <w:fldChar w:fldCharType="end"/>
      </w:r>
      <w:r>
        <w:rPr>
          <w:rFonts w:ascii="Times New Roman"/>
          <w:snapToGrid w:val="0"/>
          <w:color w:val="000000"/>
          <w:spacing w:val="-6"/>
          <w:kern w:val="21"/>
          <w:szCs w:val="21"/>
        </w:rPr>
        <w:t>=</w:t>
      </w:r>
      <w:r>
        <w:rPr>
          <w:rFonts w:ascii="Times New Roman"/>
          <w:snapToGrid w:val="0"/>
          <w:color w:val="000000"/>
          <w:spacing w:val="-16"/>
          <w:kern w:val="21"/>
          <w:szCs w:val="21"/>
        </w:rPr>
        <w:fldChar w:fldCharType="begin"/>
      </w:r>
      <w:r>
        <w:rPr>
          <w:rFonts w:ascii="Times New Roman"/>
          <w:snapToGrid w:val="0"/>
          <w:color w:val="000000"/>
          <w:spacing w:val="-16"/>
          <w:kern w:val="21"/>
          <w:szCs w:val="21"/>
        </w:rPr>
        <w:instrText xml:space="preserve"> = 6 \* GB3 \* MERGEFORMAT </w:instrText>
      </w:r>
      <w:r>
        <w:rPr>
          <w:rFonts w:ascii="Times New Roman"/>
          <w:snapToGrid w:val="0"/>
          <w:color w:val="000000"/>
          <w:spacing w:val="-16"/>
          <w:kern w:val="21"/>
          <w:szCs w:val="21"/>
        </w:rPr>
        <w:fldChar w:fldCharType="separate"/>
      </w:r>
      <w:r>
        <w:rPr>
          <w:rFonts w:hint="eastAsia" w:ascii="Times New Roman"/>
          <w:szCs w:val="21"/>
        </w:rPr>
        <w:t>⑥</w:t>
      </w:r>
      <w:r>
        <w:rPr>
          <w:rFonts w:ascii="Times New Roman"/>
          <w:snapToGrid w:val="0"/>
          <w:color w:val="000000"/>
          <w:spacing w:val="-16"/>
          <w:kern w:val="21"/>
          <w:szCs w:val="21"/>
        </w:rPr>
        <w:fldChar w:fldCharType="end"/>
      </w:r>
      <w:r>
        <w:rPr>
          <w:rFonts w:ascii="Times New Roman"/>
          <w:snapToGrid w:val="0"/>
          <w:color w:val="000000"/>
          <w:spacing w:val="-16"/>
          <w:kern w:val="21"/>
          <w:szCs w:val="21"/>
        </w:rPr>
        <w:t>-</w:t>
      </w:r>
      <w:r>
        <w:rPr>
          <w:rFonts w:ascii="Times New Roman"/>
          <w:snapToGrid w:val="0"/>
          <w:color w:val="000000"/>
          <w:spacing w:val="-6"/>
          <w:kern w:val="21"/>
          <w:szCs w:val="21"/>
        </w:rPr>
        <w:fldChar w:fldCharType="begin"/>
      </w:r>
      <w:r>
        <w:rPr>
          <w:rFonts w:ascii="Times New Roman"/>
          <w:snapToGrid w:val="0"/>
          <w:color w:val="000000"/>
          <w:spacing w:val="-6"/>
          <w:kern w:val="21"/>
          <w:szCs w:val="21"/>
        </w:rPr>
        <w:instrText xml:space="preserve"> = 1 \* GB3 \* MERGEFORMAT </w:instrText>
      </w:r>
      <w:r>
        <w:rPr>
          <w:rFonts w:ascii="Times New Roman"/>
          <w:snapToGrid w:val="0"/>
          <w:color w:val="000000"/>
          <w:spacing w:val="-6"/>
          <w:kern w:val="21"/>
          <w:szCs w:val="21"/>
        </w:rPr>
        <w:fldChar w:fldCharType="separate"/>
      </w:r>
      <w:r>
        <w:rPr>
          <w:rFonts w:hint="eastAsia" w:ascii="Times New Roman"/>
          <w:szCs w:val="21"/>
        </w:rPr>
        <w:t>①</w:t>
      </w:r>
      <w:r>
        <w:rPr>
          <w:rFonts w:ascii="Times New Roman"/>
          <w:snapToGrid w:val="0"/>
          <w:color w:val="000000"/>
          <w:spacing w:val="-6"/>
          <w:kern w:val="21"/>
          <w:szCs w:val="21"/>
        </w:rPr>
        <w:fldChar w:fldCharType="end"/>
      </w:r>
    </w:p>
    <w:p>
      <w:pPr>
        <w:sectPr>
          <w:footerReference r:id="rId4" w:type="default"/>
          <w:pgSz w:w="16838" w:h="11906" w:orient="landscape"/>
          <w:pgMar w:top="1531" w:right="1701" w:bottom="1531" w:left="1701" w:header="851" w:footer="850" w:gutter="0"/>
          <w:cols w:space="720" w:num="1"/>
          <w:docGrid w:linePitch="312" w:charSpace="0"/>
        </w:sectPr>
      </w:pPr>
    </w:p>
    <w:tbl>
      <w:tblPr>
        <w:tblStyle w:val="26"/>
        <w:tblW w:w="886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1991" w:hRule="atLeast"/>
          <w:jc w:val="center"/>
        </w:trPr>
        <w:tc>
          <w:tcPr>
            <w:tcW w:w="8865" w:type="dxa"/>
          </w:tcPr>
          <w:p>
            <w:pPr>
              <w:pStyle w:val="50"/>
              <w:spacing w:line="360" w:lineRule="auto"/>
              <w:ind w:firstLine="480" w:firstLineChars="200"/>
              <w:rPr>
                <w:sz w:val="24"/>
                <w:szCs w:val="24"/>
              </w:rPr>
            </w:pPr>
            <w:r>
              <w:rPr>
                <w:sz w:val="24"/>
                <w:szCs w:val="24"/>
              </w:rPr>
              <w:t>本报告表附以下附图</w:t>
            </w:r>
            <w:r>
              <w:rPr>
                <w:rFonts w:hint="eastAsia"/>
                <w:sz w:val="24"/>
                <w:szCs w:val="24"/>
              </w:rPr>
              <w:t>、</w:t>
            </w:r>
            <w:r>
              <w:rPr>
                <w:sz w:val="24"/>
                <w:szCs w:val="24"/>
              </w:rPr>
              <w:t>附件：</w:t>
            </w:r>
          </w:p>
          <w:p>
            <w:pPr>
              <w:pStyle w:val="50"/>
              <w:spacing w:line="360" w:lineRule="auto"/>
              <w:ind w:firstLine="472" w:firstLineChars="196"/>
              <w:rPr>
                <w:b/>
                <w:sz w:val="24"/>
                <w:szCs w:val="24"/>
              </w:rPr>
            </w:pPr>
            <w:r>
              <w:rPr>
                <w:b/>
                <w:sz w:val="24"/>
                <w:szCs w:val="24"/>
              </w:rPr>
              <w:t>附图：</w:t>
            </w:r>
          </w:p>
          <w:p>
            <w:pPr>
              <w:pStyle w:val="50"/>
              <w:spacing w:line="360" w:lineRule="auto"/>
              <w:ind w:firstLine="480"/>
              <w:rPr>
                <w:sz w:val="24"/>
                <w:szCs w:val="24"/>
              </w:rPr>
            </w:pPr>
            <w:r>
              <w:rPr>
                <w:sz w:val="24"/>
                <w:szCs w:val="24"/>
              </w:rPr>
              <w:t>附图</w:t>
            </w:r>
            <w:r>
              <w:rPr>
                <w:rFonts w:hint="eastAsia"/>
                <w:sz w:val="24"/>
                <w:szCs w:val="24"/>
              </w:rPr>
              <w:t>一</w:t>
            </w:r>
            <w:r>
              <w:rPr>
                <w:sz w:val="24"/>
                <w:szCs w:val="24"/>
              </w:rPr>
              <w:t xml:space="preserve">  </w:t>
            </w:r>
            <w:r>
              <w:rPr>
                <w:rFonts w:hint="eastAsia"/>
                <w:sz w:val="24"/>
                <w:szCs w:val="24"/>
              </w:rPr>
              <w:t>本</w:t>
            </w:r>
            <w:r>
              <w:rPr>
                <w:sz w:val="24"/>
                <w:szCs w:val="24"/>
              </w:rPr>
              <w:t>项目地理位置图</w:t>
            </w:r>
          </w:p>
          <w:p>
            <w:pPr>
              <w:pStyle w:val="50"/>
              <w:spacing w:line="360" w:lineRule="auto"/>
              <w:ind w:firstLine="480"/>
              <w:rPr>
                <w:sz w:val="24"/>
                <w:szCs w:val="24"/>
              </w:rPr>
            </w:pPr>
            <w:r>
              <w:rPr>
                <w:rFonts w:hint="eastAsia"/>
                <w:sz w:val="24"/>
                <w:szCs w:val="24"/>
              </w:rPr>
              <w:t>附图二  本项目周边环境敏感点示意图</w:t>
            </w:r>
          </w:p>
          <w:p>
            <w:pPr>
              <w:pStyle w:val="50"/>
              <w:spacing w:line="360" w:lineRule="auto"/>
              <w:ind w:firstLine="480"/>
              <w:rPr>
                <w:rFonts w:hint="eastAsia"/>
                <w:sz w:val="24"/>
                <w:szCs w:val="24"/>
              </w:rPr>
            </w:pPr>
            <w:r>
              <w:rPr>
                <w:rFonts w:hint="eastAsia"/>
                <w:sz w:val="24"/>
                <w:szCs w:val="24"/>
              </w:rPr>
              <w:t>附图三  本项目平面布置图</w:t>
            </w:r>
          </w:p>
          <w:p>
            <w:pPr>
              <w:pStyle w:val="50"/>
              <w:spacing w:line="360" w:lineRule="auto"/>
              <w:ind w:firstLine="480"/>
              <w:rPr>
                <w:rFonts w:hint="eastAsia" w:ascii="Times New Roman" w:hAnsi="Times New Roman" w:cs="Times New Roman"/>
                <w:sz w:val="24"/>
                <w:szCs w:val="24"/>
                <w:lang w:val="en-US" w:eastAsia="zh-CN"/>
              </w:rPr>
            </w:pPr>
            <w:r>
              <w:rPr>
                <w:rFonts w:hint="eastAsia"/>
                <w:sz w:val="24"/>
                <w:szCs w:val="24"/>
                <w:lang w:val="en-US" w:eastAsia="zh-CN"/>
              </w:rPr>
              <w:t xml:space="preserve">附图四  </w:t>
            </w:r>
            <w:r>
              <w:rPr>
                <w:rFonts w:hint="eastAsia" w:ascii="Times New Roman" w:hAnsi="Times New Roman" w:cs="Times New Roman"/>
                <w:sz w:val="24"/>
                <w:szCs w:val="24"/>
              </w:rPr>
              <w:t>鲁山县产业集聚区用地性质规划图</w:t>
            </w:r>
            <w:r>
              <w:rPr>
                <w:rFonts w:hint="eastAsia" w:ascii="Times New Roman" w:hAnsi="Times New Roman" w:cs="Times New Roman"/>
                <w:sz w:val="24"/>
                <w:szCs w:val="24"/>
                <w:lang w:val="en-US" w:eastAsia="zh-CN"/>
              </w:rPr>
              <w:t>及本项目位置</w:t>
            </w:r>
          </w:p>
          <w:p>
            <w:pPr>
              <w:pStyle w:val="50"/>
              <w:spacing w:line="360" w:lineRule="auto"/>
              <w:ind w:firstLine="480"/>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附图五  </w:t>
            </w:r>
            <w:r>
              <w:rPr>
                <w:rFonts w:hint="eastAsia" w:ascii="Times New Roman" w:hAnsi="Times New Roman" w:cs="Times New Roman"/>
                <w:sz w:val="24"/>
                <w:szCs w:val="24"/>
              </w:rPr>
              <w:t>鲁山县产业集聚区产业布局规划图</w:t>
            </w:r>
            <w:r>
              <w:rPr>
                <w:rFonts w:hint="eastAsia" w:ascii="Times New Roman" w:hAnsi="Times New Roman" w:cs="Times New Roman"/>
                <w:sz w:val="24"/>
                <w:szCs w:val="24"/>
                <w:lang w:val="en-US" w:eastAsia="zh-CN"/>
              </w:rPr>
              <w:t>及本项目位置</w:t>
            </w:r>
          </w:p>
          <w:p>
            <w:pPr>
              <w:pStyle w:val="50"/>
              <w:spacing w:line="360" w:lineRule="auto"/>
              <w:ind w:firstLine="480"/>
              <w:rPr>
                <w:sz w:val="24"/>
                <w:szCs w:val="24"/>
              </w:rPr>
            </w:pPr>
            <w:r>
              <w:rPr>
                <w:rFonts w:hint="eastAsia"/>
                <w:sz w:val="24"/>
                <w:szCs w:val="24"/>
              </w:rPr>
              <w:t>附图四  现场</w:t>
            </w:r>
            <w:r>
              <w:rPr>
                <w:sz w:val="24"/>
                <w:szCs w:val="24"/>
              </w:rPr>
              <w:t>照片</w:t>
            </w:r>
          </w:p>
          <w:p>
            <w:pPr>
              <w:spacing w:line="360" w:lineRule="auto"/>
              <w:ind w:firstLine="480" w:firstLineChars="200"/>
              <w:rPr>
                <w:bCs/>
                <w:sz w:val="24"/>
              </w:rPr>
            </w:pPr>
          </w:p>
          <w:p>
            <w:pPr>
              <w:pStyle w:val="50"/>
              <w:spacing w:line="360" w:lineRule="auto"/>
              <w:ind w:firstLine="482" w:firstLineChars="200"/>
              <w:rPr>
                <w:b/>
                <w:sz w:val="24"/>
                <w:szCs w:val="24"/>
              </w:rPr>
            </w:pPr>
            <w:r>
              <w:rPr>
                <w:rFonts w:hint="eastAsia"/>
                <w:b/>
                <w:sz w:val="24"/>
                <w:szCs w:val="24"/>
              </w:rPr>
              <w:t>附件：</w:t>
            </w:r>
          </w:p>
          <w:p>
            <w:pPr>
              <w:pStyle w:val="50"/>
              <w:spacing w:line="360" w:lineRule="auto"/>
              <w:ind w:firstLine="480" w:firstLineChars="200"/>
              <w:rPr>
                <w:sz w:val="24"/>
                <w:szCs w:val="24"/>
              </w:rPr>
            </w:pPr>
            <w:r>
              <w:rPr>
                <w:sz w:val="24"/>
                <w:szCs w:val="24"/>
              </w:rPr>
              <w:t xml:space="preserve">附件1  </w:t>
            </w:r>
            <w:r>
              <w:rPr>
                <w:rFonts w:hint="eastAsia"/>
                <w:sz w:val="24"/>
                <w:szCs w:val="24"/>
              </w:rPr>
              <w:t>本项目</w:t>
            </w:r>
            <w:r>
              <w:rPr>
                <w:sz w:val="24"/>
                <w:szCs w:val="24"/>
              </w:rPr>
              <w:t>委托书</w:t>
            </w:r>
          </w:p>
          <w:p>
            <w:pPr>
              <w:pStyle w:val="50"/>
              <w:spacing w:line="360" w:lineRule="auto"/>
              <w:ind w:firstLine="480" w:firstLineChars="200"/>
              <w:rPr>
                <w:sz w:val="24"/>
                <w:szCs w:val="24"/>
              </w:rPr>
            </w:pPr>
            <w:r>
              <w:rPr>
                <w:rFonts w:hint="eastAsia"/>
                <w:sz w:val="24"/>
                <w:szCs w:val="24"/>
              </w:rPr>
              <w:t>附件2  本项目备案证明</w:t>
            </w:r>
          </w:p>
          <w:p>
            <w:pPr>
              <w:pStyle w:val="50"/>
              <w:spacing w:line="360" w:lineRule="auto"/>
              <w:ind w:firstLine="480" w:firstLineChars="200"/>
              <w:rPr>
                <w:sz w:val="24"/>
                <w:szCs w:val="24"/>
              </w:rPr>
            </w:pPr>
            <w:r>
              <w:rPr>
                <w:sz w:val="24"/>
                <w:szCs w:val="24"/>
              </w:rPr>
              <w:t>附件</w:t>
            </w:r>
            <w:r>
              <w:rPr>
                <w:rFonts w:hint="eastAsia"/>
                <w:sz w:val="24"/>
                <w:szCs w:val="24"/>
              </w:rPr>
              <w:t>3</w:t>
            </w:r>
            <w:r>
              <w:rPr>
                <w:sz w:val="24"/>
                <w:szCs w:val="24"/>
              </w:rPr>
              <w:t xml:space="preserve">  </w:t>
            </w:r>
            <w:r>
              <w:rPr>
                <w:rFonts w:hint="eastAsia"/>
                <w:sz w:val="24"/>
                <w:szCs w:val="24"/>
              </w:rPr>
              <w:t>鲁山县环境保护局出具的关于本项目环评执行标准的意见</w:t>
            </w:r>
          </w:p>
          <w:p>
            <w:pPr>
              <w:pStyle w:val="50"/>
              <w:spacing w:line="360" w:lineRule="auto"/>
              <w:ind w:firstLine="480" w:firstLineChars="200"/>
              <w:rPr>
                <w:rFonts w:hint="eastAsia" w:eastAsia="宋体"/>
                <w:sz w:val="24"/>
                <w:szCs w:val="24"/>
                <w:lang w:val="en-US" w:eastAsia="zh-CN"/>
              </w:rPr>
            </w:pPr>
            <w:r>
              <w:rPr>
                <w:rFonts w:hint="eastAsia"/>
                <w:sz w:val="24"/>
                <w:szCs w:val="24"/>
              </w:rPr>
              <w:t>附件4  本项目</w:t>
            </w:r>
            <w:r>
              <w:rPr>
                <w:rFonts w:hint="eastAsia"/>
                <w:sz w:val="24"/>
                <w:szCs w:val="24"/>
                <w:lang w:val="en-US" w:eastAsia="zh-CN"/>
              </w:rPr>
              <w:t>与平顶山市银地源实业有限公司的</w:t>
            </w:r>
            <w:r>
              <w:rPr>
                <w:rFonts w:hint="eastAsia"/>
                <w:sz w:val="24"/>
                <w:szCs w:val="24"/>
              </w:rPr>
              <w:t>用地租赁</w:t>
            </w:r>
            <w:r>
              <w:rPr>
                <w:rFonts w:hint="eastAsia"/>
                <w:sz w:val="24"/>
                <w:szCs w:val="24"/>
                <w:lang w:val="en-US" w:eastAsia="zh-CN"/>
              </w:rPr>
              <w:t>合同</w:t>
            </w:r>
          </w:p>
          <w:p>
            <w:pPr>
              <w:pStyle w:val="50"/>
              <w:spacing w:line="360" w:lineRule="auto"/>
              <w:ind w:firstLine="480" w:firstLineChars="200"/>
              <w:rPr>
                <w:rFonts w:hint="eastAsia" w:eastAsia="宋体"/>
                <w:sz w:val="24"/>
                <w:szCs w:val="24"/>
                <w:lang w:val="en-US" w:eastAsia="zh-CN"/>
              </w:rPr>
            </w:pPr>
            <w:r>
              <w:rPr>
                <w:rFonts w:hint="eastAsia"/>
                <w:sz w:val="24"/>
                <w:szCs w:val="24"/>
                <w:lang w:val="en-US" w:eastAsia="zh-CN"/>
              </w:rPr>
              <w:t>附件5  本项目与平顶山市唐保耐火材料有限公司的用地租赁合同</w:t>
            </w:r>
          </w:p>
          <w:p>
            <w:pPr>
              <w:pStyle w:val="50"/>
              <w:spacing w:line="360" w:lineRule="auto"/>
              <w:ind w:firstLine="480" w:firstLineChars="200"/>
              <w:rPr>
                <w:rFonts w:hint="eastAsia"/>
                <w:sz w:val="24"/>
                <w:szCs w:val="24"/>
              </w:rPr>
            </w:pPr>
            <w:r>
              <w:rPr>
                <w:rFonts w:hint="eastAsia"/>
                <w:sz w:val="24"/>
                <w:szCs w:val="24"/>
              </w:rPr>
              <w:t>附件</w:t>
            </w:r>
            <w:r>
              <w:rPr>
                <w:rFonts w:hint="eastAsia"/>
                <w:sz w:val="24"/>
                <w:szCs w:val="24"/>
                <w:lang w:val="en-US" w:eastAsia="zh-CN"/>
              </w:rPr>
              <w:t>6</w:t>
            </w:r>
            <w:r>
              <w:rPr>
                <w:rFonts w:hint="eastAsia"/>
                <w:sz w:val="24"/>
                <w:szCs w:val="24"/>
              </w:rPr>
              <w:t xml:space="preserve">  本项目入驻鲁山县产业集聚区协议</w:t>
            </w:r>
          </w:p>
          <w:p>
            <w:pPr>
              <w:pStyle w:val="50"/>
              <w:spacing w:line="360" w:lineRule="auto"/>
              <w:ind w:firstLine="480" w:firstLineChars="200"/>
              <w:rPr>
                <w:rFonts w:hint="eastAsia"/>
                <w:sz w:val="24"/>
                <w:szCs w:val="24"/>
                <w:lang w:val="en-US" w:eastAsia="zh-CN"/>
              </w:rPr>
            </w:pPr>
            <w:r>
              <w:rPr>
                <w:rFonts w:hint="eastAsia"/>
                <w:sz w:val="24"/>
                <w:szCs w:val="24"/>
                <w:lang w:val="en-US" w:eastAsia="zh-CN"/>
              </w:rPr>
              <w:t>附件7  鲁山县产业集聚区管理委员会出具的关于本项目的证明材料</w:t>
            </w:r>
          </w:p>
          <w:p>
            <w:pPr>
              <w:pStyle w:val="50"/>
              <w:spacing w:line="360" w:lineRule="auto"/>
              <w:ind w:firstLine="480" w:firstLineChars="200"/>
              <w:rPr>
                <w:rFonts w:hint="eastAsia"/>
                <w:sz w:val="24"/>
                <w:szCs w:val="24"/>
                <w:lang w:val="en-US" w:eastAsia="zh-CN"/>
              </w:rPr>
            </w:pPr>
            <w:r>
              <w:rPr>
                <w:rFonts w:hint="eastAsia"/>
                <w:sz w:val="24"/>
                <w:szCs w:val="24"/>
                <w:lang w:val="en-US" w:eastAsia="zh-CN"/>
              </w:rPr>
              <w:t>附件8  本项目的技术评审意见及专家签名表</w:t>
            </w:r>
          </w:p>
          <w:p>
            <w:pPr>
              <w:spacing w:line="360" w:lineRule="auto"/>
              <w:ind w:firstLine="480" w:firstLineChars="200"/>
              <w:rPr>
                <w:bCs/>
                <w:sz w:val="24"/>
              </w:rPr>
            </w:pPr>
          </w:p>
          <w:p>
            <w:pPr>
              <w:spacing w:line="360" w:lineRule="auto"/>
              <w:ind w:firstLine="482" w:firstLineChars="200"/>
              <w:rPr>
                <w:b/>
                <w:sz w:val="24"/>
              </w:rPr>
            </w:pPr>
            <w:r>
              <w:rPr>
                <w:rFonts w:hint="eastAsia"/>
                <w:b/>
                <w:sz w:val="24"/>
              </w:rPr>
              <w:t>附表：</w:t>
            </w:r>
          </w:p>
          <w:p>
            <w:pPr>
              <w:spacing w:line="360" w:lineRule="auto"/>
              <w:ind w:firstLine="480" w:firstLineChars="200"/>
              <w:rPr>
                <w:bCs/>
                <w:sz w:val="24"/>
              </w:rPr>
            </w:pPr>
            <w:r>
              <w:rPr>
                <w:rFonts w:hint="eastAsia"/>
                <w:bCs/>
                <w:sz w:val="24"/>
              </w:rPr>
              <w:t>附表  建设项目环评审批基础信息表</w:t>
            </w:r>
          </w:p>
          <w:p>
            <w:pPr>
              <w:spacing w:line="360" w:lineRule="auto"/>
              <w:ind w:firstLine="480" w:firstLineChars="200"/>
              <w:rPr>
                <w:bCs/>
                <w:sz w:val="24"/>
              </w:rPr>
            </w:pPr>
          </w:p>
          <w:p>
            <w:pPr>
              <w:spacing w:line="360" w:lineRule="auto"/>
              <w:ind w:firstLine="480" w:firstLineChars="200"/>
              <w:rPr>
                <w:bCs/>
                <w:sz w:val="24"/>
              </w:rPr>
            </w:pPr>
          </w:p>
          <w:p>
            <w:pPr>
              <w:pStyle w:val="7"/>
              <w:ind w:firstLine="240"/>
              <w:rPr>
                <w:bCs/>
                <w:sz w:val="24"/>
              </w:rPr>
            </w:pPr>
          </w:p>
          <w:p>
            <w:pPr>
              <w:pStyle w:val="7"/>
              <w:ind w:firstLine="240"/>
              <w:rPr>
                <w:bCs/>
                <w:sz w:val="24"/>
              </w:rPr>
            </w:pPr>
          </w:p>
          <w:p>
            <w:pPr>
              <w:pStyle w:val="7"/>
              <w:ind w:firstLine="240"/>
              <w:rPr>
                <w:bCs/>
                <w:sz w:val="24"/>
              </w:rPr>
            </w:pPr>
          </w:p>
          <w:p>
            <w:pPr>
              <w:pStyle w:val="7"/>
              <w:ind w:firstLine="240"/>
              <w:rPr>
                <w:bCs/>
                <w:sz w:val="24"/>
              </w:rPr>
            </w:pPr>
          </w:p>
          <w:p>
            <w:pPr>
              <w:pStyle w:val="7"/>
              <w:ind w:firstLine="240"/>
              <w:rPr>
                <w:bCs/>
                <w:sz w:val="24"/>
              </w:rPr>
            </w:pPr>
          </w:p>
          <w:p>
            <w:pPr>
              <w:spacing w:line="360" w:lineRule="auto"/>
              <w:ind w:firstLine="480" w:firstLineChars="200"/>
              <w:rPr>
                <w:bCs/>
                <w:sz w:val="24"/>
              </w:rPr>
            </w:pPr>
          </w:p>
        </w:tc>
      </w:tr>
    </w:tbl>
    <w:p/>
    <w:sectPr>
      <w:pgSz w:w="11906" w:h="16838"/>
      <w:pgMar w:top="1701" w:right="1531" w:bottom="1701" w:left="1531" w:header="851"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TimesNewRomanPSMT">
    <w:altName w:val="Times New Roman"/>
    <w:panose1 w:val="00000000000000000000"/>
    <w:charset w:val="80"/>
    <w:family w:val="auto"/>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宋体_..ャ..">
    <w:altName w:val="宋体"/>
    <w:panose1 w:val="00000000000000000000"/>
    <w:charset w:val="86"/>
    <w:family w:val="roman"/>
    <w:pitch w:val="default"/>
    <w:sig w:usb0="00000000" w:usb1="0000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outside" w:y="1"/>
      <w:rPr>
        <w:rStyle w:val="23"/>
        <w:rFonts w:ascii="宋体" w:hAnsi="宋体"/>
        <w:sz w:val="28"/>
        <w:szCs w:val="28"/>
      </w:rPr>
    </w:pPr>
    <w:r>
      <w:rPr>
        <w:rStyle w:val="23"/>
        <w:rFonts w:hint="eastAsia" w:ascii="宋体" w:hAnsi="宋体"/>
        <w:sz w:val="28"/>
        <w:szCs w:val="28"/>
      </w:rPr>
      <w:t>—</w:t>
    </w:r>
    <w:r>
      <w:rPr>
        <w:rStyle w:val="23"/>
        <w:rFonts w:hint="eastAsia" w:ascii="宋体" w:hAnsi="宋体"/>
        <w:sz w:val="20"/>
      </w:rPr>
      <w:t xml:space="preserve">  </w:t>
    </w:r>
    <w:r>
      <w:rPr>
        <w:rFonts w:ascii="宋体" w:hAnsi="宋体"/>
        <w:sz w:val="26"/>
        <w:szCs w:val="26"/>
      </w:rPr>
      <w:fldChar w:fldCharType="begin"/>
    </w:r>
    <w:r>
      <w:rPr>
        <w:rStyle w:val="23"/>
        <w:rFonts w:ascii="宋体" w:hAnsi="宋体"/>
        <w:sz w:val="26"/>
        <w:szCs w:val="26"/>
      </w:rPr>
      <w:instrText xml:space="preserve">PAGE  </w:instrText>
    </w:r>
    <w:r>
      <w:rPr>
        <w:rFonts w:ascii="宋体" w:hAnsi="宋体"/>
        <w:sz w:val="26"/>
        <w:szCs w:val="26"/>
      </w:rPr>
      <w:fldChar w:fldCharType="separate"/>
    </w:r>
    <w:r>
      <w:rPr>
        <w:rStyle w:val="23"/>
        <w:rFonts w:ascii="宋体" w:hAnsi="宋体"/>
        <w:sz w:val="26"/>
        <w:szCs w:val="26"/>
      </w:rPr>
      <w:t>3</w:t>
    </w:r>
    <w:r>
      <w:rPr>
        <w:rFonts w:ascii="宋体" w:hAnsi="宋体"/>
        <w:sz w:val="26"/>
        <w:szCs w:val="26"/>
      </w:rPr>
      <w:fldChar w:fldCharType="end"/>
    </w:r>
    <w:r>
      <w:rPr>
        <w:rStyle w:val="23"/>
        <w:rFonts w:hint="eastAsia" w:ascii="宋体" w:hAnsi="宋体"/>
        <w:sz w:val="20"/>
      </w:rPr>
      <w:t xml:space="preserve">  </w:t>
    </w:r>
    <w:r>
      <w:rPr>
        <w:rStyle w:val="23"/>
        <w:rFonts w:hint="eastAsia" w:ascii="宋体" w:hAnsi="宋体"/>
        <w:sz w:val="28"/>
        <w:szCs w:val="28"/>
      </w:rPr>
      <w:t>—</w:t>
    </w:r>
  </w:p>
  <w:p>
    <w:pPr>
      <w:pStyle w:val="18"/>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outside" w:y="1"/>
      <w:rPr>
        <w:rStyle w:val="23"/>
        <w:rFonts w:ascii="宋体" w:hAnsi="宋体"/>
        <w:sz w:val="28"/>
        <w:szCs w:val="28"/>
      </w:rPr>
    </w:pPr>
    <w:r>
      <w:rPr>
        <w:rStyle w:val="23"/>
        <w:rFonts w:hint="eastAsia" w:ascii="宋体" w:hAnsi="宋体"/>
        <w:sz w:val="28"/>
        <w:szCs w:val="28"/>
      </w:rPr>
      <w:t>—</w:t>
    </w:r>
    <w:r>
      <w:rPr>
        <w:rStyle w:val="23"/>
        <w:rFonts w:hint="eastAsia" w:ascii="宋体" w:hAnsi="宋体"/>
        <w:sz w:val="20"/>
      </w:rPr>
      <w:t xml:space="preserve">  </w:t>
    </w:r>
    <w:r>
      <w:rPr>
        <w:rFonts w:ascii="宋体" w:hAnsi="宋体"/>
        <w:sz w:val="26"/>
        <w:szCs w:val="26"/>
      </w:rPr>
      <w:fldChar w:fldCharType="begin"/>
    </w:r>
    <w:r>
      <w:rPr>
        <w:rStyle w:val="23"/>
        <w:rFonts w:ascii="宋体" w:hAnsi="宋体"/>
        <w:sz w:val="26"/>
        <w:szCs w:val="26"/>
      </w:rPr>
      <w:instrText xml:space="preserve">PAGE  </w:instrText>
    </w:r>
    <w:r>
      <w:rPr>
        <w:rFonts w:ascii="宋体" w:hAnsi="宋体"/>
        <w:sz w:val="26"/>
        <w:szCs w:val="26"/>
      </w:rPr>
      <w:fldChar w:fldCharType="separate"/>
    </w:r>
    <w:r>
      <w:rPr>
        <w:rStyle w:val="23"/>
        <w:rFonts w:ascii="宋体" w:hAnsi="宋体"/>
        <w:sz w:val="26"/>
        <w:szCs w:val="26"/>
      </w:rPr>
      <w:t>58</w:t>
    </w:r>
    <w:r>
      <w:rPr>
        <w:rFonts w:ascii="宋体" w:hAnsi="宋体"/>
        <w:sz w:val="26"/>
        <w:szCs w:val="26"/>
      </w:rPr>
      <w:fldChar w:fldCharType="end"/>
    </w:r>
    <w:r>
      <w:rPr>
        <w:rStyle w:val="23"/>
        <w:rFonts w:hint="eastAsia" w:ascii="宋体" w:hAnsi="宋体"/>
        <w:sz w:val="20"/>
      </w:rPr>
      <w:t xml:space="preserve">  </w:t>
    </w:r>
    <w:r>
      <w:rPr>
        <w:rStyle w:val="23"/>
        <w:rFonts w:hint="eastAsia" w:ascii="宋体" w:hAnsi="宋体"/>
        <w:sz w:val="28"/>
        <w:szCs w:val="28"/>
      </w:rPr>
      <w:t>—</w:t>
    </w:r>
  </w:p>
  <w:p>
    <w:pPr>
      <w:pStyle w:val="18"/>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133D5D"/>
    <w:multiLevelType w:val="singleLevel"/>
    <w:tmpl w:val="61133D5D"/>
    <w:lvl w:ilvl="0" w:tentative="0">
      <w:start w:val="5"/>
      <w:numFmt w:val="decimal"/>
      <w:suff w:val="nothing"/>
      <w:lvlText w:val="（%1）"/>
      <w:lvlJc w:val="left"/>
    </w:lvl>
  </w:abstractNum>
  <w:abstractNum w:abstractNumId="1">
    <w:nsid w:val="61139FF0"/>
    <w:multiLevelType w:val="singleLevel"/>
    <w:tmpl w:val="61139FF0"/>
    <w:lvl w:ilvl="0" w:tentative="0">
      <w:start w:val="2"/>
      <w:numFmt w:val="decimal"/>
      <w:suff w:val="nothing"/>
      <w:lvlText w:val="（%1）"/>
      <w:lvlJc w:val="left"/>
    </w:lvl>
  </w:abstractNum>
  <w:abstractNum w:abstractNumId="2">
    <w:nsid w:val="6113ADBA"/>
    <w:multiLevelType w:val="singleLevel"/>
    <w:tmpl w:val="6113ADBA"/>
    <w:lvl w:ilvl="0" w:tentative="0">
      <w:start w:val="4"/>
      <w:numFmt w:val="decimal"/>
      <w:suff w:val="nothing"/>
      <w:lvlText w:val="（%1）"/>
      <w:lvlJc w:val="left"/>
    </w:lvl>
  </w:abstractNum>
  <w:abstractNum w:abstractNumId="3">
    <w:nsid w:val="6115E9B1"/>
    <w:multiLevelType w:val="singleLevel"/>
    <w:tmpl w:val="6115E9B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0B3"/>
    <w:rsid w:val="00020AD4"/>
    <w:rsid w:val="0004364B"/>
    <w:rsid w:val="00046A04"/>
    <w:rsid w:val="00061B1F"/>
    <w:rsid w:val="00062617"/>
    <w:rsid w:val="000733C4"/>
    <w:rsid w:val="00074783"/>
    <w:rsid w:val="0008070B"/>
    <w:rsid w:val="000810AC"/>
    <w:rsid w:val="00081A02"/>
    <w:rsid w:val="00082231"/>
    <w:rsid w:val="00092D38"/>
    <w:rsid w:val="0009377B"/>
    <w:rsid w:val="000A03BE"/>
    <w:rsid w:val="000A20C9"/>
    <w:rsid w:val="000B058F"/>
    <w:rsid w:val="000B4467"/>
    <w:rsid w:val="000B4DB9"/>
    <w:rsid w:val="000C09AC"/>
    <w:rsid w:val="000C767F"/>
    <w:rsid w:val="000D5A44"/>
    <w:rsid w:val="000E3ED2"/>
    <w:rsid w:val="00131F42"/>
    <w:rsid w:val="001357F1"/>
    <w:rsid w:val="00140FA8"/>
    <w:rsid w:val="00142FEB"/>
    <w:rsid w:val="00143A2D"/>
    <w:rsid w:val="00145A41"/>
    <w:rsid w:val="00151675"/>
    <w:rsid w:val="00157435"/>
    <w:rsid w:val="00172A27"/>
    <w:rsid w:val="0017504D"/>
    <w:rsid w:val="0017671A"/>
    <w:rsid w:val="00177422"/>
    <w:rsid w:val="00184590"/>
    <w:rsid w:val="001870D1"/>
    <w:rsid w:val="0018781E"/>
    <w:rsid w:val="0019262D"/>
    <w:rsid w:val="001A1B35"/>
    <w:rsid w:val="001A48A2"/>
    <w:rsid w:val="001A6F61"/>
    <w:rsid w:val="001B72B8"/>
    <w:rsid w:val="001C69B3"/>
    <w:rsid w:val="001D5595"/>
    <w:rsid w:val="001D7874"/>
    <w:rsid w:val="001D7F22"/>
    <w:rsid w:val="001F0F17"/>
    <w:rsid w:val="001F3347"/>
    <w:rsid w:val="001F69E4"/>
    <w:rsid w:val="002125B4"/>
    <w:rsid w:val="002155B8"/>
    <w:rsid w:val="00224839"/>
    <w:rsid w:val="002249B2"/>
    <w:rsid w:val="00226574"/>
    <w:rsid w:val="002278EC"/>
    <w:rsid w:val="0023280E"/>
    <w:rsid w:val="002377D1"/>
    <w:rsid w:val="002506BC"/>
    <w:rsid w:val="00254345"/>
    <w:rsid w:val="00264557"/>
    <w:rsid w:val="002805AB"/>
    <w:rsid w:val="00284204"/>
    <w:rsid w:val="00291773"/>
    <w:rsid w:val="002A168C"/>
    <w:rsid w:val="002A3DC7"/>
    <w:rsid w:val="002B49E2"/>
    <w:rsid w:val="002B7B00"/>
    <w:rsid w:val="002B7C44"/>
    <w:rsid w:val="002C2B17"/>
    <w:rsid w:val="002D3DD0"/>
    <w:rsid w:val="002E1F3A"/>
    <w:rsid w:val="002E298A"/>
    <w:rsid w:val="00301978"/>
    <w:rsid w:val="0030332C"/>
    <w:rsid w:val="003051C2"/>
    <w:rsid w:val="00312296"/>
    <w:rsid w:val="00314F0E"/>
    <w:rsid w:val="00321D8E"/>
    <w:rsid w:val="00325928"/>
    <w:rsid w:val="00332863"/>
    <w:rsid w:val="0033684D"/>
    <w:rsid w:val="00337B42"/>
    <w:rsid w:val="00341B42"/>
    <w:rsid w:val="0034348F"/>
    <w:rsid w:val="00356653"/>
    <w:rsid w:val="0035743F"/>
    <w:rsid w:val="00357BE2"/>
    <w:rsid w:val="0036170C"/>
    <w:rsid w:val="00366E0F"/>
    <w:rsid w:val="00381A72"/>
    <w:rsid w:val="00384676"/>
    <w:rsid w:val="00390857"/>
    <w:rsid w:val="003A4BF3"/>
    <w:rsid w:val="003B420D"/>
    <w:rsid w:val="003C6C16"/>
    <w:rsid w:val="003D794D"/>
    <w:rsid w:val="003E0738"/>
    <w:rsid w:val="003E3058"/>
    <w:rsid w:val="003E76A9"/>
    <w:rsid w:val="003F0809"/>
    <w:rsid w:val="003F6A8C"/>
    <w:rsid w:val="003F755C"/>
    <w:rsid w:val="00400CCF"/>
    <w:rsid w:val="00406F01"/>
    <w:rsid w:val="00416D50"/>
    <w:rsid w:val="00416FD5"/>
    <w:rsid w:val="00417772"/>
    <w:rsid w:val="00420E6A"/>
    <w:rsid w:val="00425A9E"/>
    <w:rsid w:val="00426D6B"/>
    <w:rsid w:val="00431E6C"/>
    <w:rsid w:val="00433CE7"/>
    <w:rsid w:val="00436D87"/>
    <w:rsid w:val="00452738"/>
    <w:rsid w:val="00456091"/>
    <w:rsid w:val="00466321"/>
    <w:rsid w:val="00484B9B"/>
    <w:rsid w:val="004855F6"/>
    <w:rsid w:val="0048661E"/>
    <w:rsid w:val="00494670"/>
    <w:rsid w:val="004A3823"/>
    <w:rsid w:val="004E6946"/>
    <w:rsid w:val="004F1AD8"/>
    <w:rsid w:val="005039CB"/>
    <w:rsid w:val="0050558F"/>
    <w:rsid w:val="00506286"/>
    <w:rsid w:val="00510813"/>
    <w:rsid w:val="00511990"/>
    <w:rsid w:val="00511DE0"/>
    <w:rsid w:val="00514870"/>
    <w:rsid w:val="00514B9B"/>
    <w:rsid w:val="00517F02"/>
    <w:rsid w:val="00524303"/>
    <w:rsid w:val="005258A2"/>
    <w:rsid w:val="005401AE"/>
    <w:rsid w:val="00542E07"/>
    <w:rsid w:val="00545424"/>
    <w:rsid w:val="00554A7B"/>
    <w:rsid w:val="0055572C"/>
    <w:rsid w:val="0056106A"/>
    <w:rsid w:val="005720AE"/>
    <w:rsid w:val="00594D77"/>
    <w:rsid w:val="005969E4"/>
    <w:rsid w:val="005A06B7"/>
    <w:rsid w:val="005A1759"/>
    <w:rsid w:val="005A68A7"/>
    <w:rsid w:val="005D36AB"/>
    <w:rsid w:val="00612E68"/>
    <w:rsid w:val="00617CC3"/>
    <w:rsid w:val="006377A6"/>
    <w:rsid w:val="00637A3D"/>
    <w:rsid w:val="006411EF"/>
    <w:rsid w:val="006748B8"/>
    <w:rsid w:val="006775C3"/>
    <w:rsid w:val="0069290A"/>
    <w:rsid w:val="0069775A"/>
    <w:rsid w:val="00697813"/>
    <w:rsid w:val="006A3EE8"/>
    <w:rsid w:val="006A72BF"/>
    <w:rsid w:val="006B03F2"/>
    <w:rsid w:val="006B37DC"/>
    <w:rsid w:val="006B4F68"/>
    <w:rsid w:val="006C0592"/>
    <w:rsid w:val="006C272E"/>
    <w:rsid w:val="006C5479"/>
    <w:rsid w:val="006D13B5"/>
    <w:rsid w:val="006E12FF"/>
    <w:rsid w:val="006E607E"/>
    <w:rsid w:val="00701EC5"/>
    <w:rsid w:val="00706C5D"/>
    <w:rsid w:val="007160B5"/>
    <w:rsid w:val="00732922"/>
    <w:rsid w:val="007351E5"/>
    <w:rsid w:val="0075162E"/>
    <w:rsid w:val="00754034"/>
    <w:rsid w:val="00756556"/>
    <w:rsid w:val="00760081"/>
    <w:rsid w:val="007618C4"/>
    <w:rsid w:val="00767980"/>
    <w:rsid w:val="00770B19"/>
    <w:rsid w:val="0077463F"/>
    <w:rsid w:val="007836EA"/>
    <w:rsid w:val="00784CDA"/>
    <w:rsid w:val="007906C4"/>
    <w:rsid w:val="007940EA"/>
    <w:rsid w:val="007967E8"/>
    <w:rsid w:val="007A2170"/>
    <w:rsid w:val="007A22BF"/>
    <w:rsid w:val="007A3323"/>
    <w:rsid w:val="007B72B8"/>
    <w:rsid w:val="007B7A58"/>
    <w:rsid w:val="007C21B5"/>
    <w:rsid w:val="007C67D3"/>
    <w:rsid w:val="007E4BD2"/>
    <w:rsid w:val="00801393"/>
    <w:rsid w:val="00802F88"/>
    <w:rsid w:val="0081293E"/>
    <w:rsid w:val="00815465"/>
    <w:rsid w:val="00817E9A"/>
    <w:rsid w:val="008306BD"/>
    <w:rsid w:val="00831A80"/>
    <w:rsid w:val="00833743"/>
    <w:rsid w:val="008340A4"/>
    <w:rsid w:val="00834210"/>
    <w:rsid w:val="0085358B"/>
    <w:rsid w:val="0087135F"/>
    <w:rsid w:val="00872D94"/>
    <w:rsid w:val="00880364"/>
    <w:rsid w:val="00891592"/>
    <w:rsid w:val="00891E9E"/>
    <w:rsid w:val="008A2F68"/>
    <w:rsid w:val="008B4FA6"/>
    <w:rsid w:val="008B5282"/>
    <w:rsid w:val="008B7C17"/>
    <w:rsid w:val="008C2D01"/>
    <w:rsid w:val="008C40E6"/>
    <w:rsid w:val="008C728B"/>
    <w:rsid w:val="008D0F7A"/>
    <w:rsid w:val="008D68E4"/>
    <w:rsid w:val="008E0506"/>
    <w:rsid w:val="008E0CFF"/>
    <w:rsid w:val="008E5D6B"/>
    <w:rsid w:val="008E76F0"/>
    <w:rsid w:val="008F15FE"/>
    <w:rsid w:val="008F2D29"/>
    <w:rsid w:val="008F5187"/>
    <w:rsid w:val="008F60D8"/>
    <w:rsid w:val="00902727"/>
    <w:rsid w:val="0090312B"/>
    <w:rsid w:val="0091736D"/>
    <w:rsid w:val="0093037A"/>
    <w:rsid w:val="0094154D"/>
    <w:rsid w:val="0095155F"/>
    <w:rsid w:val="00954429"/>
    <w:rsid w:val="009563CE"/>
    <w:rsid w:val="00976328"/>
    <w:rsid w:val="0097680D"/>
    <w:rsid w:val="00982438"/>
    <w:rsid w:val="0098404C"/>
    <w:rsid w:val="00985283"/>
    <w:rsid w:val="00995992"/>
    <w:rsid w:val="009A03E5"/>
    <w:rsid w:val="009A0F3B"/>
    <w:rsid w:val="009A1BB4"/>
    <w:rsid w:val="009A2628"/>
    <w:rsid w:val="009A3200"/>
    <w:rsid w:val="009B0897"/>
    <w:rsid w:val="009B7BD9"/>
    <w:rsid w:val="009C7DD5"/>
    <w:rsid w:val="009E227D"/>
    <w:rsid w:val="009E5019"/>
    <w:rsid w:val="00A04F1B"/>
    <w:rsid w:val="00A0501B"/>
    <w:rsid w:val="00A14947"/>
    <w:rsid w:val="00A32A83"/>
    <w:rsid w:val="00A368DB"/>
    <w:rsid w:val="00A423AA"/>
    <w:rsid w:val="00A4388D"/>
    <w:rsid w:val="00A53EC6"/>
    <w:rsid w:val="00A5483B"/>
    <w:rsid w:val="00A55C0F"/>
    <w:rsid w:val="00A8713F"/>
    <w:rsid w:val="00A90BA1"/>
    <w:rsid w:val="00A97A9A"/>
    <w:rsid w:val="00AA0671"/>
    <w:rsid w:val="00AA2531"/>
    <w:rsid w:val="00AB1E09"/>
    <w:rsid w:val="00AB5330"/>
    <w:rsid w:val="00AB7747"/>
    <w:rsid w:val="00AC14CE"/>
    <w:rsid w:val="00AC2A56"/>
    <w:rsid w:val="00AD055E"/>
    <w:rsid w:val="00AD47A7"/>
    <w:rsid w:val="00AF0CBF"/>
    <w:rsid w:val="00AF257F"/>
    <w:rsid w:val="00AF33CF"/>
    <w:rsid w:val="00AF4D50"/>
    <w:rsid w:val="00AF6179"/>
    <w:rsid w:val="00B1295A"/>
    <w:rsid w:val="00B20A45"/>
    <w:rsid w:val="00B22C5C"/>
    <w:rsid w:val="00B24F30"/>
    <w:rsid w:val="00B31ABF"/>
    <w:rsid w:val="00B33BE3"/>
    <w:rsid w:val="00B52F09"/>
    <w:rsid w:val="00B53B5D"/>
    <w:rsid w:val="00B6055E"/>
    <w:rsid w:val="00B6317D"/>
    <w:rsid w:val="00B7385C"/>
    <w:rsid w:val="00B7723F"/>
    <w:rsid w:val="00B80534"/>
    <w:rsid w:val="00B8433C"/>
    <w:rsid w:val="00B87491"/>
    <w:rsid w:val="00BA29E9"/>
    <w:rsid w:val="00BA7142"/>
    <w:rsid w:val="00BB237C"/>
    <w:rsid w:val="00BB41A3"/>
    <w:rsid w:val="00BC32DC"/>
    <w:rsid w:val="00BC35B6"/>
    <w:rsid w:val="00BD1B51"/>
    <w:rsid w:val="00BD4596"/>
    <w:rsid w:val="00BE08FB"/>
    <w:rsid w:val="00BE1405"/>
    <w:rsid w:val="00BE312D"/>
    <w:rsid w:val="00BF1C20"/>
    <w:rsid w:val="00C10578"/>
    <w:rsid w:val="00C135BC"/>
    <w:rsid w:val="00C15C95"/>
    <w:rsid w:val="00C2596A"/>
    <w:rsid w:val="00C27537"/>
    <w:rsid w:val="00C328FE"/>
    <w:rsid w:val="00C33507"/>
    <w:rsid w:val="00C4409D"/>
    <w:rsid w:val="00C44E72"/>
    <w:rsid w:val="00C45A06"/>
    <w:rsid w:val="00C47E5B"/>
    <w:rsid w:val="00C61E4B"/>
    <w:rsid w:val="00C6387A"/>
    <w:rsid w:val="00C64BFF"/>
    <w:rsid w:val="00C704E9"/>
    <w:rsid w:val="00C763C9"/>
    <w:rsid w:val="00C80057"/>
    <w:rsid w:val="00C82232"/>
    <w:rsid w:val="00C82913"/>
    <w:rsid w:val="00C972B1"/>
    <w:rsid w:val="00CA2CCE"/>
    <w:rsid w:val="00CA43FD"/>
    <w:rsid w:val="00CA7EF8"/>
    <w:rsid w:val="00CC489B"/>
    <w:rsid w:val="00CD2BCD"/>
    <w:rsid w:val="00CD3A4C"/>
    <w:rsid w:val="00CE10E9"/>
    <w:rsid w:val="00CE2910"/>
    <w:rsid w:val="00CE5393"/>
    <w:rsid w:val="00CF36BE"/>
    <w:rsid w:val="00CF6000"/>
    <w:rsid w:val="00D003F3"/>
    <w:rsid w:val="00D0364F"/>
    <w:rsid w:val="00D06834"/>
    <w:rsid w:val="00D27DB2"/>
    <w:rsid w:val="00D308ED"/>
    <w:rsid w:val="00D36D86"/>
    <w:rsid w:val="00D428AA"/>
    <w:rsid w:val="00D50A34"/>
    <w:rsid w:val="00D53EFA"/>
    <w:rsid w:val="00D701B5"/>
    <w:rsid w:val="00D94A7C"/>
    <w:rsid w:val="00D95896"/>
    <w:rsid w:val="00DB2983"/>
    <w:rsid w:val="00DB52BE"/>
    <w:rsid w:val="00DC1257"/>
    <w:rsid w:val="00DC3DC0"/>
    <w:rsid w:val="00DC571E"/>
    <w:rsid w:val="00DC5B2B"/>
    <w:rsid w:val="00DD318D"/>
    <w:rsid w:val="00DF2E12"/>
    <w:rsid w:val="00DF34A7"/>
    <w:rsid w:val="00DF514A"/>
    <w:rsid w:val="00DF6690"/>
    <w:rsid w:val="00DF6804"/>
    <w:rsid w:val="00E0358D"/>
    <w:rsid w:val="00E04323"/>
    <w:rsid w:val="00E070A2"/>
    <w:rsid w:val="00E2656A"/>
    <w:rsid w:val="00E412D0"/>
    <w:rsid w:val="00E56322"/>
    <w:rsid w:val="00E60982"/>
    <w:rsid w:val="00E62C62"/>
    <w:rsid w:val="00E654C1"/>
    <w:rsid w:val="00E65D97"/>
    <w:rsid w:val="00E72A5A"/>
    <w:rsid w:val="00E73354"/>
    <w:rsid w:val="00E9242D"/>
    <w:rsid w:val="00EB5255"/>
    <w:rsid w:val="00EB5C47"/>
    <w:rsid w:val="00ED0639"/>
    <w:rsid w:val="00EF2381"/>
    <w:rsid w:val="00EF4755"/>
    <w:rsid w:val="00EF7135"/>
    <w:rsid w:val="00F027DB"/>
    <w:rsid w:val="00F14A7A"/>
    <w:rsid w:val="00F22985"/>
    <w:rsid w:val="00F3383E"/>
    <w:rsid w:val="00F37E87"/>
    <w:rsid w:val="00F465A7"/>
    <w:rsid w:val="00F50B7C"/>
    <w:rsid w:val="00F550E6"/>
    <w:rsid w:val="00F74345"/>
    <w:rsid w:val="00F80A0A"/>
    <w:rsid w:val="00F82B19"/>
    <w:rsid w:val="00F9212D"/>
    <w:rsid w:val="00F965DA"/>
    <w:rsid w:val="00FA406A"/>
    <w:rsid w:val="00FB503A"/>
    <w:rsid w:val="00FB516C"/>
    <w:rsid w:val="00FD0236"/>
    <w:rsid w:val="00FD18F4"/>
    <w:rsid w:val="00FD54DB"/>
    <w:rsid w:val="00FD5CC5"/>
    <w:rsid w:val="00FD619F"/>
    <w:rsid w:val="01022C9F"/>
    <w:rsid w:val="011A4397"/>
    <w:rsid w:val="01290F7E"/>
    <w:rsid w:val="014728C0"/>
    <w:rsid w:val="015D1E09"/>
    <w:rsid w:val="018815C7"/>
    <w:rsid w:val="01BF5F6B"/>
    <w:rsid w:val="01E301DB"/>
    <w:rsid w:val="01FC6A51"/>
    <w:rsid w:val="0226004E"/>
    <w:rsid w:val="024E1621"/>
    <w:rsid w:val="025C318E"/>
    <w:rsid w:val="02697903"/>
    <w:rsid w:val="02904E86"/>
    <w:rsid w:val="02E56EE5"/>
    <w:rsid w:val="02F96569"/>
    <w:rsid w:val="032E00C6"/>
    <w:rsid w:val="03771CB3"/>
    <w:rsid w:val="039047E2"/>
    <w:rsid w:val="03A04139"/>
    <w:rsid w:val="03A54346"/>
    <w:rsid w:val="03CD1260"/>
    <w:rsid w:val="03EA7B21"/>
    <w:rsid w:val="0430338C"/>
    <w:rsid w:val="047A5272"/>
    <w:rsid w:val="049B1855"/>
    <w:rsid w:val="049D49E3"/>
    <w:rsid w:val="04F1535D"/>
    <w:rsid w:val="04F16630"/>
    <w:rsid w:val="04F97615"/>
    <w:rsid w:val="05294B03"/>
    <w:rsid w:val="0533703F"/>
    <w:rsid w:val="053A6076"/>
    <w:rsid w:val="056510F7"/>
    <w:rsid w:val="059C1C41"/>
    <w:rsid w:val="05E61E2C"/>
    <w:rsid w:val="05F83EAE"/>
    <w:rsid w:val="05FB7E83"/>
    <w:rsid w:val="063E7D85"/>
    <w:rsid w:val="064B5938"/>
    <w:rsid w:val="06525524"/>
    <w:rsid w:val="0688182C"/>
    <w:rsid w:val="069917CF"/>
    <w:rsid w:val="06B04FB1"/>
    <w:rsid w:val="06C115C2"/>
    <w:rsid w:val="06CC1B72"/>
    <w:rsid w:val="06DA1E7B"/>
    <w:rsid w:val="07293586"/>
    <w:rsid w:val="07295285"/>
    <w:rsid w:val="07636392"/>
    <w:rsid w:val="07770C56"/>
    <w:rsid w:val="07C22CE1"/>
    <w:rsid w:val="07C46AEB"/>
    <w:rsid w:val="080C7F41"/>
    <w:rsid w:val="082830F5"/>
    <w:rsid w:val="08486F40"/>
    <w:rsid w:val="084961AA"/>
    <w:rsid w:val="08872FFA"/>
    <w:rsid w:val="08A06C0F"/>
    <w:rsid w:val="092217DD"/>
    <w:rsid w:val="093A7294"/>
    <w:rsid w:val="09847A57"/>
    <w:rsid w:val="0A020889"/>
    <w:rsid w:val="0A263993"/>
    <w:rsid w:val="0A2B0E46"/>
    <w:rsid w:val="0A2D3AC2"/>
    <w:rsid w:val="0A464D2E"/>
    <w:rsid w:val="0A914141"/>
    <w:rsid w:val="0AA755DF"/>
    <w:rsid w:val="0AF46011"/>
    <w:rsid w:val="0B0E741A"/>
    <w:rsid w:val="0B120D44"/>
    <w:rsid w:val="0B581A2A"/>
    <w:rsid w:val="0B807ADE"/>
    <w:rsid w:val="0BD27BF6"/>
    <w:rsid w:val="0BEA36A3"/>
    <w:rsid w:val="0BF63997"/>
    <w:rsid w:val="0C3B3C7D"/>
    <w:rsid w:val="0C522E45"/>
    <w:rsid w:val="0C7A0C82"/>
    <w:rsid w:val="0C7F1985"/>
    <w:rsid w:val="0CAB2EAE"/>
    <w:rsid w:val="0CD838B6"/>
    <w:rsid w:val="0CF765F3"/>
    <w:rsid w:val="0D3C2CB1"/>
    <w:rsid w:val="0D621C7D"/>
    <w:rsid w:val="0D727114"/>
    <w:rsid w:val="0D7A4B19"/>
    <w:rsid w:val="0DBC3623"/>
    <w:rsid w:val="0DF62A89"/>
    <w:rsid w:val="0E026BF3"/>
    <w:rsid w:val="0E256361"/>
    <w:rsid w:val="0E73034D"/>
    <w:rsid w:val="0E7B674E"/>
    <w:rsid w:val="0E8D1A8A"/>
    <w:rsid w:val="0ECB6B23"/>
    <w:rsid w:val="0ED95A22"/>
    <w:rsid w:val="0F0B6B3D"/>
    <w:rsid w:val="0F13775A"/>
    <w:rsid w:val="0F15100F"/>
    <w:rsid w:val="0F1C130E"/>
    <w:rsid w:val="0F561081"/>
    <w:rsid w:val="0F5F45FE"/>
    <w:rsid w:val="0F7A09FB"/>
    <w:rsid w:val="0F821D7E"/>
    <w:rsid w:val="0F9A112B"/>
    <w:rsid w:val="0FB15032"/>
    <w:rsid w:val="0FB66476"/>
    <w:rsid w:val="0FE615B5"/>
    <w:rsid w:val="104526A7"/>
    <w:rsid w:val="106D2F64"/>
    <w:rsid w:val="10794A4D"/>
    <w:rsid w:val="10AA6AF7"/>
    <w:rsid w:val="10B143A6"/>
    <w:rsid w:val="10B63710"/>
    <w:rsid w:val="10D73434"/>
    <w:rsid w:val="10F10820"/>
    <w:rsid w:val="10F40A71"/>
    <w:rsid w:val="1101249D"/>
    <w:rsid w:val="111C2F7A"/>
    <w:rsid w:val="11451F94"/>
    <w:rsid w:val="11665CA1"/>
    <w:rsid w:val="116A455E"/>
    <w:rsid w:val="11AA7A88"/>
    <w:rsid w:val="11C84400"/>
    <w:rsid w:val="11EF2AFE"/>
    <w:rsid w:val="121E567E"/>
    <w:rsid w:val="12525DAF"/>
    <w:rsid w:val="12616399"/>
    <w:rsid w:val="12CB7CF2"/>
    <w:rsid w:val="12DF04C5"/>
    <w:rsid w:val="13951726"/>
    <w:rsid w:val="13C41570"/>
    <w:rsid w:val="13C96D15"/>
    <w:rsid w:val="13D82FF4"/>
    <w:rsid w:val="14396509"/>
    <w:rsid w:val="14797E0A"/>
    <w:rsid w:val="14BB1D5C"/>
    <w:rsid w:val="14DD2C3C"/>
    <w:rsid w:val="1523486C"/>
    <w:rsid w:val="15431158"/>
    <w:rsid w:val="157307E3"/>
    <w:rsid w:val="15C44A2C"/>
    <w:rsid w:val="15CC0F70"/>
    <w:rsid w:val="15DC31F7"/>
    <w:rsid w:val="16087E1D"/>
    <w:rsid w:val="163E05B1"/>
    <w:rsid w:val="16537D5B"/>
    <w:rsid w:val="16A13C12"/>
    <w:rsid w:val="17701D14"/>
    <w:rsid w:val="17735226"/>
    <w:rsid w:val="17C351E0"/>
    <w:rsid w:val="17CF788F"/>
    <w:rsid w:val="17DB0C56"/>
    <w:rsid w:val="181C08E1"/>
    <w:rsid w:val="1842266E"/>
    <w:rsid w:val="18715917"/>
    <w:rsid w:val="18966140"/>
    <w:rsid w:val="189F624C"/>
    <w:rsid w:val="18A63521"/>
    <w:rsid w:val="18D87A9C"/>
    <w:rsid w:val="196601B1"/>
    <w:rsid w:val="198E7E24"/>
    <w:rsid w:val="19EE4E19"/>
    <w:rsid w:val="1A1C66C0"/>
    <w:rsid w:val="1A42393B"/>
    <w:rsid w:val="1A770118"/>
    <w:rsid w:val="1AAD45DE"/>
    <w:rsid w:val="1AB34FB6"/>
    <w:rsid w:val="1AEC2E9E"/>
    <w:rsid w:val="1B046F80"/>
    <w:rsid w:val="1B2332D2"/>
    <w:rsid w:val="1B29104C"/>
    <w:rsid w:val="1B3267B5"/>
    <w:rsid w:val="1B40161D"/>
    <w:rsid w:val="1B441859"/>
    <w:rsid w:val="1B6606B1"/>
    <w:rsid w:val="1B735CBF"/>
    <w:rsid w:val="1BE37AA4"/>
    <w:rsid w:val="1C1737CD"/>
    <w:rsid w:val="1C5E7925"/>
    <w:rsid w:val="1C607083"/>
    <w:rsid w:val="1C6637ED"/>
    <w:rsid w:val="1CD47A97"/>
    <w:rsid w:val="1CDD7B56"/>
    <w:rsid w:val="1CEB3905"/>
    <w:rsid w:val="1CFD070F"/>
    <w:rsid w:val="1D0B7208"/>
    <w:rsid w:val="1D5F6196"/>
    <w:rsid w:val="1D603177"/>
    <w:rsid w:val="1D6132A5"/>
    <w:rsid w:val="1D697DF8"/>
    <w:rsid w:val="1D8E56D5"/>
    <w:rsid w:val="1DA07F03"/>
    <w:rsid w:val="1DE37546"/>
    <w:rsid w:val="1E0E1FB5"/>
    <w:rsid w:val="1E2570DD"/>
    <w:rsid w:val="1E3B5F2E"/>
    <w:rsid w:val="1E7062A2"/>
    <w:rsid w:val="1E734BB8"/>
    <w:rsid w:val="1E7A43DA"/>
    <w:rsid w:val="1E942486"/>
    <w:rsid w:val="1EBD5EB0"/>
    <w:rsid w:val="1EFE5777"/>
    <w:rsid w:val="1F027D54"/>
    <w:rsid w:val="1F0A19E0"/>
    <w:rsid w:val="1F4E65E6"/>
    <w:rsid w:val="1FE7539E"/>
    <w:rsid w:val="200A5B26"/>
    <w:rsid w:val="2027796A"/>
    <w:rsid w:val="20425D0A"/>
    <w:rsid w:val="20430A60"/>
    <w:rsid w:val="20456910"/>
    <w:rsid w:val="20671BE0"/>
    <w:rsid w:val="20963CB8"/>
    <w:rsid w:val="20A81A1B"/>
    <w:rsid w:val="20B07FB6"/>
    <w:rsid w:val="20B646FB"/>
    <w:rsid w:val="20CC4B13"/>
    <w:rsid w:val="212717E8"/>
    <w:rsid w:val="213B74B1"/>
    <w:rsid w:val="215A2310"/>
    <w:rsid w:val="218A3239"/>
    <w:rsid w:val="21A51FFD"/>
    <w:rsid w:val="21AB12BF"/>
    <w:rsid w:val="21DE318A"/>
    <w:rsid w:val="21EF5B80"/>
    <w:rsid w:val="220734AD"/>
    <w:rsid w:val="22311025"/>
    <w:rsid w:val="224208B1"/>
    <w:rsid w:val="225424C4"/>
    <w:rsid w:val="22576990"/>
    <w:rsid w:val="22731EFD"/>
    <w:rsid w:val="22F47480"/>
    <w:rsid w:val="230D4C89"/>
    <w:rsid w:val="233E058C"/>
    <w:rsid w:val="23A2641B"/>
    <w:rsid w:val="23A50606"/>
    <w:rsid w:val="23CC0574"/>
    <w:rsid w:val="23DE1C48"/>
    <w:rsid w:val="240210CD"/>
    <w:rsid w:val="247D3882"/>
    <w:rsid w:val="24A526FF"/>
    <w:rsid w:val="24BF09F7"/>
    <w:rsid w:val="252D53FE"/>
    <w:rsid w:val="25A24056"/>
    <w:rsid w:val="25A84B74"/>
    <w:rsid w:val="25EC2D81"/>
    <w:rsid w:val="263053A8"/>
    <w:rsid w:val="263878EA"/>
    <w:rsid w:val="26D2589A"/>
    <w:rsid w:val="274C4E54"/>
    <w:rsid w:val="276B0858"/>
    <w:rsid w:val="277057A2"/>
    <w:rsid w:val="27931F7A"/>
    <w:rsid w:val="27C62ABE"/>
    <w:rsid w:val="28260FCC"/>
    <w:rsid w:val="28706093"/>
    <w:rsid w:val="28DB1636"/>
    <w:rsid w:val="28F72A75"/>
    <w:rsid w:val="290D7B03"/>
    <w:rsid w:val="291F0D68"/>
    <w:rsid w:val="29206EB8"/>
    <w:rsid w:val="29595666"/>
    <w:rsid w:val="298201D9"/>
    <w:rsid w:val="29874881"/>
    <w:rsid w:val="29B53185"/>
    <w:rsid w:val="29E325E0"/>
    <w:rsid w:val="29F57951"/>
    <w:rsid w:val="29FE2489"/>
    <w:rsid w:val="2A2A03CC"/>
    <w:rsid w:val="2A452503"/>
    <w:rsid w:val="2AC206C0"/>
    <w:rsid w:val="2ADC43D4"/>
    <w:rsid w:val="2B45236A"/>
    <w:rsid w:val="2B5136C6"/>
    <w:rsid w:val="2B574209"/>
    <w:rsid w:val="2B671F16"/>
    <w:rsid w:val="2B8073F3"/>
    <w:rsid w:val="2B97523C"/>
    <w:rsid w:val="2BA936A8"/>
    <w:rsid w:val="2BE60316"/>
    <w:rsid w:val="2C23075E"/>
    <w:rsid w:val="2C2920D2"/>
    <w:rsid w:val="2C315A5A"/>
    <w:rsid w:val="2C4B1C25"/>
    <w:rsid w:val="2C6845A0"/>
    <w:rsid w:val="2CDB0C20"/>
    <w:rsid w:val="2CFC742A"/>
    <w:rsid w:val="2D273D10"/>
    <w:rsid w:val="2D3A693D"/>
    <w:rsid w:val="2D887907"/>
    <w:rsid w:val="2D9E56F5"/>
    <w:rsid w:val="2DBF20D8"/>
    <w:rsid w:val="2DCA1176"/>
    <w:rsid w:val="2DEA719A"/>
    <w:rsid w:val="2E493689"/>
    <w:rsid w:val="2E667F96"/>
    <w:rsid w:val="2E6D3734"/>
    <w:rsid w:val="2E8226AB"/>
    <w:rsid w:val="2EDD365C"/>
    <w:rsid w:val="2F5E405B"/>
    <w:rsid w:val="2F63343F"/>
    <w:rsid w:val="2FD065E6"/>
    <w:rsid w:val="2FD96870"/>
    <w:rsid w:val="2FED3B39"/>
    <w:rsid w:val="3013098C"/>
    <w:rsid w:val="30373748"/>
    <w:rsid w:val="303D2F11"/>
    <w:rsid w:val="303F395A"/>
    <w:rsid w:val="30440A42"/>
    <w:rsid w:val="304D2C2A"/>
    <w:rsid w:val="30580BC9"/>
    <w:rsid w:val="305F5638"/>
    <w:rsid w:val="30EB7885"/>
    <w:rsid w:val="30FE31BE"/>
    <w:rsid w:val="311E2ED7"/>
    <w:rsid w:val="31286CD5"/>
    <w:rsid w:val="315619EE"/>
    <w:rsid w:val="315C449C"/>
    <w:rsid w:val="318825DA"/>
    <w:rsid w:val="31B82709"/>
    <w:rsid w:val="31CA10F5"/>
    <w:rsid w:val="31D05482"/>
    <w:rsid w:val="32400B34"/>
    <w:rsid w:val="32880B62"/>
    <w:rsid w:val="329E6876"/>
    <w:rsid w:val="32E06473"/>
    <w:rsid w:val="333015F2"/>
    <w:rsid w:val="334B6320"/>
    <w:rsid w:val="3355245B"/>
    <w:rsid w:val="33842BDC"/>
    <w:rsid w:val="33BE628A"/>
    <w:rsid w:val="33BF5BD9"/>
    <w:rsid w:val="33D934D4"/>
    <w:rsid w:val="33F3229E"/>
    <w:rsid w:val="33FE2F6A"/>
    <w:rsid w:val="340E07E5"/>
    <w:rsid w:val="34182670"/>
    <w:rsid w:val="34235BF7"/>
    <w:rsid w:val="34465495"/>
    <w:rsid w:val="346760C6"/>
    <w:rsid w:val="3481071D"/>
    <w:rsid w:val="34876ED1"/>
    <w:rsid w:val="34910D47"/>
    <w:rsid w:val="34C264F2"/>
    <w:rsid w:val="35062BA8"/>
    <w:rsid w:val="35180A3F"/>
    <w:rsid w:val="353A363F"/>
    <w:rsid w:val="358C5FA8"/>
    <w:rsid w:val="35C15DF1"/>
    <w:rsid w:val="35D82009"/>
    <w:rsid w:val="35E04F51"/>
    <w:rsid w:val="36074A7F"/>
    <w:rsid w:val="36597FF9"/>
    <w:rsid w:val="36923549"/>
    <w:rsid w:val="36AB4A52"/>
    <w:rsid w:val="36B75FBF"/>
    <w:rsid w:val="36BD0C45"/>
    <w:rsid w:val="36D42B88"/>
    <w:rsid w:val="37053F3F"/>
    <w:rsid w:val="3788778D"/>
    <w:rsid w:val="37BB2F99"/>
    <w:rsid w:val="37D87B90"/>
    <w:rsid w:val="37E00298"/>
    <w:rsid w:val="37F30F41"/>
    <w:rsid w:val="380D5DD2"/>
    <w:rsid w:val="381C5FA5"/>
    <w:rsid w:val="38204E64"/>
    <w:rsid w:val="384302ED"/>
    <w:rsid w:val="38B302F9"/>
    <w:rsid w:val="38F12CD3"/>
    <w:rsid w:val="38F769DC"/>
    <w:rsid w:val="38F94775"/>
    <w:rsid w:val="38FC0A3D"/>
    <w:rsid w:val="392971ED"/>
    <w:rsid w:val="39325651"/>
    <w:rsid w:val="394D5CD8"/>
    <w:rsid w:val="395F028C"/>
    <w:rsid w:val="3992439A"/>
    <w:rsid w:val="39B63D12"/>
    <w:rsid w:val="39BA2977"/>
    <w:rsid w:val="39DD7F9F"/>
    <w:rsid w:val="3A0C12C7"/>
    <w:rsid w:val="3A220510"/>
    <w:rsid w:val="3A5E5D9D"/>
    <w:rsid w:val="3A872856"/>
    <w:rsid w:val="3A904CE5"/>
    <w:rsid w:val="3AA5654F"/>
    <w:rsid w:val="3AE3691A"/>
    <w:rsid w:val="3B0711C0"/>
    <w:rsid w:val="3B3763D1"/>
    <w:rsid w:val="3B46036D"/>
    <w:rsid w:val="3B58144F"/>
    <w:rsid w:val="3B5A18A5"/>
    <w:rsid w:val="3BB5108A"/>
    <w:rsid w:val="3BFD57F0"/>
    <w:rsid w:val="3C2D5997"/>
    <w:rsid w:val="3C2F6E1E"/>
    <w:rsid w:val="3C333E09"/>
    <w:rsid w:val="3C4F64BA"/>
    <w:rsid w:val="3C9C3BAD"/>
    <w:rsid w:val="3CC86FBC"/>
    <w:rsid w:val="3CDA245A"/>
    <w:rsid w:val="3D005C81"/>
    <w:rsid w:val="3D101ACB"/>
    <w:rsid w:val="3D1E06B7"/>
    <w:rsid w:val="3D203CE5"/>
    <w:rsid w:val="3D3F0730"/>
    <w:rsid w:val="3D4664B4"/>
    <w:rsid w:val="3D490AA4"/>
    <w:rsid w:val="3D81794A"/>
    <w:rsid w:val="3D9112CE"/>
    <w:rsid w:val="3DD23E38"/>
    <w:rsid w:val="3E8536DF"/>
    <w:rsid w:val="3EDA0523"/>
    <w:rsid w:val="3EDB647A"/>
    <w:rsid w:val="3EDF3BA9"/>
    <w:rsid w:val="3F0B7ACD"/>
    <w:rsid w:val="3F1805F1"/>
    <w:rsid w:val="3F1F555B"/>
    <w:rsid w:val="3F441B82"/>
    <w:rsid w:val="3F4457DE"/>
    <w:rsid w:val="3F7410AC"/>
    <w:rsid w:val="3FF5367F"/>
    <w:rsid w:val="3FFA3E99"/>
    <w:rsid w:val="400F26F3"/>
    <w:rsid w:val="402F41B3"/>
    <w:rsid w:val="4032100A"/>
    <w:rsid w:val="40460E8F"/>
    <w:rsid w:val="404E5A36"/>
    <w:rsid w:val="4068650C"/>
    <w:rsid w:val="407A6407"/>
    <w:rsid w:val="4096625A"/>
    <w:rsid w:val="40976CC1"/>
    <w:rsid w:val="4099771A"/>
    <w:rsid w:val="40A100F7"/>
    <w:rsid w:val="40C66915"/>
    <w:rsid w:val="40CA1C3A"/>
    <w:rsid w:val="40D43983"/>
    <w:rsid w:val="40E24395"/>
    <w:rsid w:val="40F859D9"/>
    <w:rsid w:val="40FA6FBB"/>
    <w:rsid w:val="411A72BD"/>
    <w:rsid w:val="41554415"/>
    <w:rsid w:val="41DA6BDA"/>
    <w:rsid w:val="4200449D"/>
    <w:rsid w:val="423A3BCC"/>
    <w:rsid w:val="424E57D2"/>
    <w:rsid w:val="428025BB"/>
    <w:rsid w:val="42B26C49"/>
    <w:rsid w:val="4300412B"/>
    <w:rsid w:val="433A6FE6"/>
    <w:rsid w:val="43480868"/>
    <w:rsid w:val="4350713C"/>
    <w:rsid w:val="435A2994"/>
    <w:rsid w:val="436653E0"/>
    <w:rsid w:val="43B139C5"/>
    <w:rsid w:val="43C4431A"/>
    <w:rsid w:val="43E23933"/>
    <w:rsid w:val="43F211C3"/>
    <w:rsid w:val="441463D5"/>
    <w:rsid w:val="4421695F"/>
    <w:rsid w:val="443B65BD"/>
    <w:rsid w:val="44586A4E"/>
    <w:rsid w:val="44A819E0"/>
    <w:rsid w:val="44B951CC"/>
    <w:rsid w:val="44CD14E0"/>
    <w:rsid w:val="44E54DA5"/>
    <w:rsid w:val="44F20B0B"/>
    <w:rsid w:val="44FE7E30"/>
    <w:rsid w:val="451968AA"/>
    <w:rsid w:val="452E5F4C"/>
    <w:rsid w:val="45612018"/>
    <w:rsid w:val="458946E9"/>
    <w:rsid w:val="459D2FC6"/>
    <w:rsid w:val="45A47C0E"/>
    <w:rsid w:val="45D037C6"/>
    <w:rsid w:val="45EB424F"/>
    <w:rsid w:val="463C0232"/>
    <w:rsid w:val="46577FD6"/>
    <w:rsid w:val="46BD6D53"/>
    <w:rsid w:val="46D955A7"/>
    <w:rsid w:val="46F47F03"/>
    <w:rsid w:val="47133957"/>
    <w:rsid w:val="475D0DE5"/>
    <w:rsid w:val="47973ACF"/>
    <w:rsid w:val="47A07E0C"/>
    <w:rsid w:val="482D5DE5"/>
    <w:rsid w:val="4870272E"/>
    <w:rsid w:val="48CA3FB2"/>
    <w:rsid w:val="49351B44"/>
    <w:rsid w:val="4936071F"/>
    <w:rsid w:val="493B3ABD"/>
    <w:rsid w:val="495C728A"/>
    <w:rsid w:val="49935E76"/>
    <w:rsid w:val="49A423D4"/>
    <w:rsid w:val="49DC7715"/>
    <w:rsid w:val="49E025C6"/>
    <w:rsid w:val="4A023139"/>
    <w:rsid w:val="4A11635D"/>
    <w:rsid w:val="4A7B576F"/>
    <w:rsid w:val="4A844F82"/>
    <w:rsid w:val="4AAA4A8B"/>
    <w:rsid w:val="4ACD528D"/>
    <w:rsid w:val="4AF561A9"/>
    <w:rsid w:val="4B331905"/>
    <w:rsid w:val="4B582F38"/>
    <w:rsid w:val="4BAD1A4B"/>
    <w:rsid w:val="4BE64682"/>
    <w:rsid w:val="4C3C53CD"/>
    <w:rsid w:val="4C4A0649"/>
    <w:rsid w:val="4C4C3C50"/>
    <w:rsid w:val="4C7E5ECA"/>
    <w:rsid w:val="4C876AA5"/>
    <w:rsid w:val="4CC360D7"/>
    <w:rsid w:val="4D0E00FB"/>
    <w:rsid w:val="4D0F0227"/>
    <w:rsid w:val="4D176606"/>
    <w:rsid w:val="4DEC4FB0"/>
    <w:rsid w:val="4E05233D"/>
    <w:rsid w:val="4E075D8A"/>
    <w:rsid w:val="4E1016F8"/>
    <w:rsid w:val="4E5E531F"/>
    <w:rsid w:val="4E806A52"/>
    <w:rsid w:val="4E9253DB"/>
    <w:rsid w:val="4EC00FAD"/>
    <w:rsid w:val="4EEF1CFC"/>
    <w:rsid w:val="4EF53F8D"/>
    <w:rsid w:val="4F012831"/>
    <w:rsid w:val="4F2359E4"/>
    <w:rsid w:val="4F2B756B"/>
    <w:rsid w:val="4F2D041A"/>
    <w:rsid w:val="4F5E1C8E"/>
    <w:rsid w:val="4F8F581A"/>
    <w:rsid w:val="4F9843DC"/>
    <w:rsid w:val="4FA80708"/>
    <w:rsid w:val="4FC62A8C"/>
    <w:rsid w:val="4FD35BDF"/>
    <w:rsid w:val="4FE20F0D"/>
    <w:rsid w:val="4FE51552"/>
    <w:rsid w:val="4FEC79B3"/>
    <w:rsid w:val="4FFB5D87"/>
    <w:rsid w:val="4FFE3FA0"/>
    <w:rsid w:val="501855CF"/>
    <w:rsid w:val="50382FA5"/>
    <w:rsid w:val="50504C4B"/>
    <w:rsid w:val="505B1B68"/>
    <w:rsid w:val="506F1210"/>
    <w:rsid w:val="509C6E7C"/>
    <w:rsid w:val="50ED124F"/>
    <w:rsid w:val="51212427"/>
    <w:rsid w:val="5162104E"/>
    <w:rsid w:val="518045A2"/>
    <w:rsid w:val="51BC767A"/>
    <w:rsid w:val="51C352D3"/>
    <w:rsid w:val="524D6DE4"/>
    <w:rsid w:val="52513808"/>
    <w:rsid w:val="52587229"/>
    <w:rsid w:val="525D0B7C"/>
    <w:rsid w:val="5277371D"/>
    <w:rsid w:val="527A2A72"/>
    <w:rsid w:val="52800B40"/>
    <w:rsid w:val="528F2959"/>
    <w:rsid w:val="53861910"/>
    <w:rsid w:val="53984AFF"/>
    <w:rsid w:val="53A039CC"/>
    <w:rsid w:val="53A1505A"/>
    <w:rsid w:val="53E7166F"/>
    <w:rsid w:val="54063E08"/>
    <w:rsid w:val="543437E8"/>
    <w:rsid w:val="545B5F53"/>
    <w:rsid w:val="54E318A4"/>
    <w:rsid w:val="54F73313"/>
    <w:rsid w:val="54F80955"/>
    <w:rsid w:val="54FF4326"/>
    <w:rsid w:val="551B449E"/>
    <w:rsid w:val="55340586"/>
    <w:rsid w:val="555170A7"/>
    <w:rsid w:val="5587536D"/>
    <w:rsid w:val="559B174B"/>
    <w:rsid w:val="55CE0CF4"/>
    <w:rsid w:val="561C60A4"/>
    <w:rsid w:val="563B4D94"/>
    <w:rsid w:val="56961F73"/>
    <w:rsid w:val="56B22A9C"/>
    <w:rsid w:val="56B97EDA"/>
    <w:rsid w:val="56BD398F"/>
    <w:rsid w:val="56BF6179"/>
    <w:rsid w:val="57222857"/>
    <w:rsid w:val="57252BC9"/>
    <w:rsid w:val="57B72A76"/>
    <w:rsid w:val="57C3426C"/>
    <w:rsid w:val="57CE1F93"/>
    <w:rsid w:val="57D17C19"/>
    <w:rsid w:val="583074EB"/>
    <w:rsid w:val="588743D1"/>
    <w:rsid w:val="5887701A"/>
    <w:rsid w:val="58A46944"/>
    <w:rsid w:val="58B97119"/>
    <w:rsid w:val="5912192E"/>
    <w:rsid w:val="597A4688"/>
    <w:rsid w:val="599555BB"/>
    <w:rsid w:val="59BA6938"/>
    <w:rsid w:val="59C0439F"/>
    <w:rsid w:val="5A33752B"/>
    <w:rsid w:val="5AA158D0"/>
    <w:rsid w:val="5ABE2233"/>
    <w:rsid w:val="5AEC47B8"/>
    <w:rsid w:val="5B075C0B"/>
    <w:rsid w:val="5B3D71E8"/>
    <w:rsid w:val="5B447C4C"/>
    <w:rsid w:val="5B4902E9"/>
    <w:rsid w:val="5BBD389F"/>
    <w:rsid w:val="5BCD65DB"/>
    <w:rsid w:val="5BDF5D95"/>
    <w:rsid w:val="5BFE7528"/>
    <w:rsid w:val="5C0E5CE8"/>
    <w:rsid w:val="5C312704"/>
    <w:rsid w:val="5C437350"/>
    <w:rsid w:val="5C6306C5"/>
    <w:rsid w:val="5C9B6C7F"/>
    <w:rsid w:val="5D376466"/>
    <w:rsid w:val="5DBC7F26"/>
    <w:rsid w:val="5DD611EF"/>
    <w:rsid w:val="5E2467F1"/>
    <w:rsid w:val="5E3A0918"/>
    <w:rsid w:val="5E4B59FB"/>
    <w:rsid w:val="5E840A6B"/>
    <w:rsid w:val="5EA02B74"/>
    <w:rsid w:val="5EBF24B2"/>
    <w:rsid w:val="5F1A2B43"/>
    <w:rsid w:val="5F4F2AC9"/>
    <w:rsid w:val="5F5A70D3"/>
    <w:rsid w:val="5F905D84"/>
    <w:rsid w:val="5FB837BB"/>
    <w:rsid w:val="5FFF7352"/>
    <w:rsid w:val="604322B3"/>
    <w:rsid w:val="605778A3"/>
    <w:rsid w:val="608C5EF7"/>
    <w:rsid w:val="60B90D20"/>
    <w:rsid w:val="60CC405A"/>
    <w:rsid w:val="61144C15"/>
    <w:rsid w:val="619E0031"/>
    <w:rsid w:val="61AD0F3A"/>
    <w:rsid w:val="61E215D8"/>
    <w:rsid w:val="62077066"/>
    <w:rsid w:val="621B3775"/>
    <w:rsid w:val="622D5395"/>
    <w:rsid w:val="62364782"/>
    <w:rsid w:val="625B277B"/>
    <w:rsid w:val="625F25AC"/>
    <w:rsid w:val="62670F7A"/>
    <w:rsid w:val="62FD5918"/>
    <w:rsid w:val="63084A2C"/>
    <w:rsid w:val="63204972"/>
    <w:rsid w:val="634F64AE"/>
    <w:rsid w:val="63616086"/>
    <w:rsid w:val="6394356A"/>
    <w:rsid w:val="63A03284"/>
    <w:rsid w:val="63A7575F"/>
    <w:rsid w:val="63BE12D4"/>
    <w:rsid w:val="63C61B2C"/>
    <w:rsid w:val="63D40BE9"/>
    <w:rsid w:val="63FA478F"/>
    <w:rsid w:val="64102431"/>
    <w:rsid w:val="644D15A0"/>
    <w:rsid w:val="649135D8"/>
    <w:rsid w:val="64A5243A"/>
    <w:rsid w:val="64B14E8B"/>
    <w:rsid w:val="64C0300A"/>
    <w:rsid w:val="64D46B2D"/>
    <w:rsid w:val="64F531DE"/>
    <w:rsid w:val="65204293"/>
    <w:rsid w:val="65373578"/>
    <w:rsid w:val="653B5B9C"/>
    <w:rsid w:val="65770474"/>
    <w:rsid w:val="657B0485"/>
    <w:rsid w:val="65E40361"/>
    <w:rsid w:val="65E640DC"/>
    <w:rsid w:val="65EA3164"/>
    <w:rsid w:val="65F06A93"/>
    <w:rsid w:val="665B5D36"/>
    <w:rsid w:val="66920015"/>
    <w:rsid w:val="67054255"/>
    <w:rsid w:val="67133C1D"/>
    <w:rsid w:val="671C609B"/>
    <w:rsid w:val="671F124A"/>
    <w:rsid w:val="67232726"/>
    <w:rsid w:val="6744421C"/>
    <w:rsid w:val="677A33C6"/>
    <w:rsid w:val="67A310BE"/>
    <w:rsid w:val="67DD04C2"/>
    <w:rsid w:val="67DF473A"/>
    <w:rsid w:val="67E96042"/>
    <w:rsid w:val="67F74DC6"/>
    <w:rsid w:val="681F6961"/>
    <w:rsid w:val="682E2004"/>
    <w:rsid w:val="684C3EF9"/>
    <w:rsid w:val="68610A2F"/>
    <w:rsid w:val="68794883"/>
    <w:rsid w:val="68805514"/>
    <w:rsid w:val="69013042"/>
    <w:rsid w:val="69316E2F"/>
    <w:rsid w:val="6948324A"/>
    <w:rsid w:val="694E2071"/>
    <w:rsid w:val="69766163"/>
    <w:rsid w:val="697A3B33"/>
    <w:rsid w:val="699A469F"/>
    <w:rsid w:val="69B638E1"/>
    <w:rsid w:val="69D44760"/>
    <w:rsid w:val="6A1057C9"/>
    <w:rsid w:val="6A3E7378"/>
    <w:rsid w:val="6A520EC7"/>
    <w:rsid w:val="6AF87E20"/>
    <w:rsid w:val="6B237381"/>
    <w:rsid w:val="6B322639"/>
    <w:rsid w:val="6B5E2AD4"/>
    <w:rsid w:val="6B646558"/>
    <w:rsid w:val="6B9F16F0"/>
    <w:rsid w:val="6C116E88"/>
    <w:rsid w:val="6C170F17"/>
    <w:rsid w:val="6C317B4C"/>
    <w:rsid w:val="6C562646"/>
    <w:rsid w:val="6C636C38"/>
    <w:rsid w:val="6CB72043"/>
    <w:rsid w:val="6CBD592D"/>
    <w:rsid w:val="6CDE3F74"/>
    <w:rsid w:val="6CE72790"/>
    <w:rsid w:val="6D027840"/>
    <w:rsid w:val="6D063BC3"/>
    <w:rsid w:val="6D577117"/>
    <w:rsid w:val="6DB34098"/>
    <w:rsid w:val="6DB545B6"/>
    <w:rsid w:val="6DDA6F9D"/>
    <w:rsid w:val="6DE02FB4"/>
    <w:rsid w:val="6DE67D5C"/>
    <w:rsid w:val="6E0E4F46"/>
    <w:rsid w:val="6E4B5EBB"/>
    <w:rsid w:val="6E514CED"/>
    <w:rsid w:val="6EA52B80"/>
    <w:rsid w:val="6EB563D5"/>
    <w:rsid w:val="6ED609FA"/>
    <w:rsid w:val="6ED92677"/>
    <w:rsid w:val="6F01020B"/>
    <w:rsid w:val="6F225983"/>
    <w:rsid w:val="6F393E21"/>
    <w:rsid w:val="6F690802"/>
    <w:rsid w:val="6FCD7E17"/>
    <w:rsid w:val="6FF5085C"/>
    <w:rsid w:val="6FFC5590"/>
    <w:rsid w:val="702365E9"/>
    <w:rsid w:val="70347BD8"/>
    <w:rsid w:val="706D1DD0"/>
    <w:rsid w:val="70856B87"/>
    <w:rsid w:val="70981D26"/>
    <w:rsid w:val="70A156F7"/>
    <w:rsid w:val="70A30263"/>
    <w:rsid w:val="70B36227"/>
    <w:rsid w:val="70C25E58"/>
    <w:rsid w:val="70D527EE"/>
    <w:rsid w:val="710B283E"/>
    <w:rsid w:val="71504107"/>
    <w:rsid w:val="715B5300"/>
    <w:rsid w:val="7185465B"/>
    <w:rsid w:val="71D27F8A"/>
    <w:rsid w:val="71D42CD8"/>
    <w:rsid w:val="71F83A64"/>
    <w:rsid w:val="721F6C37"/>
    <w:rsid w:val="72352E01"/>
    <w:rsid w:val="72553024"/>
    <w:rsid w:val="728F571E"/>
    <w:rsid w:val="72C9003B"/>
    <w:rsid w:val="73122968"/>
    <w:rsid w:val="731F5D5E"/>
    <w:rsid w:val="73252DE2"/>
    <w:rsid w:val="732D281B"/>
    <w:rsid w:val="73397CB9"/>
    <w:rsid w:val="7356030F"/>
    <w:rsid w:val="73994B66"/>
    <w:rsid w:val="73B8751B"/>
    <w:rsid w:val="73C51AD5"/>
    <w:rsid w:val="73FA6DEF"/>
    <w:rsid w:val="741620D6"/>
    <w:rsid w:val="741E793C"/>
    <w:rsid w:val="745E3944"/>
    <w:rsid w:val="74EE729D"/>
    <w:rsid w:val="74F00B7D"/>
    <w:rsid w:val="74FC36F5"/>
    <w:rsid w:val="75450CC9"/>
    <w:rsid w:val="755D3BFC"/>
    <w:rsid w:val="758F7CD1"/>
    <w:rsid w:val="75940DE4"/>
    <w:rsid w:val="75B62C52"/>
    <w:rsid w:val="75F714AD"/>
    <w:rsid w:val="75FA535A"/>
    <w:rsid w:val="761539EF"/>
    <w:rsid w:val="761F761F"/>
    <w:rsid w:val="7635099D"/>
    <w:rsid w:val="76825BE3"/>
    <w:rsid w:val="769823D1"/>
    <w:rsid w:val="769F738A"/>
    <w:rsid w:val="76F5662B"/>
    <w:rsid w:val="773A79A0"/>
    <w:rsid w:val="77762421"/>
    <w:rsid w:val="77AF5D6F"/>
    <w:rsid w:val="77B56B1F"/>
    <w:rsid w:val="780F09F4"/>
    <w:rsid w:val="78174DFD"/>
    <w:rsid w:val="7826692E"/>
    <w:rsid w:val="782B7FAE"/>
    <w:rsid w:val="78A90480"/>
    <w:rsid w:val="78DA4DCA"/>
    <w:rsid w:val="793217C8"/>
    <w:rsid w:val="794B2BBC"/>
    <w:rsid w:val="7958309E"/>
    <w:rsid w:val="7961411E"/>
    <w:rsid w:val="79747D50"/>
    <w:rsid w:val="79833CBC"/>
    <w:rsid w:val="79C11199"/>
    <w:rsid w:val="79C41C6E"/>
    <w:rsid w:val="79C5070F"/>
    <w:rsid w:val="79FC0E4A"/>
    <w:rsid w:val="7A0B7F39"/>
    <w:rsid w:val="7A364017"/>
    <w:rsid w:val="7A4C65EF"/>
    <w:rsid w:val="7A8265E1"/>
    <w:rsid w:val="7A9E4034"/>
    <w:rsid w:val="7B1A0057"/>
    <w:rsid w:val="7B2405A4"/>
    <w:rsid w:val="7B261270"/>
    <w:rsid w:val="7B2D76E2"/>
    <w:rsid w:val="7B542B3B"/>
    <w:rsid w:val="7B5631B6"/>
    <w:rsid w:val="7B686D42"/>
    <w:rsid w:val="7B841746"/>
    <w:rsid w:val="7BA03B27"/>
    <w:rsid w:val="7BC8252C"/>
    <w:rsid w:val="7BE81BC2"/>
    <w:rsid w:val="7C426AF6"/>
    <w:rsid w:val="7C6C5AC7"/>
    <w:rsid w:val="7C8B200A"/>
    <w:rsid w:val="7CAE0FAB"/>
    <w:rsid w:val="7CB05DBA"/>
    <w:rsid w:val="7CC6544B"/>
    <w:rsid w:val="7D0239FF"/>
    <w:rsid w:val="7D267364"/>
    <w:rsid w:val="7D2E7875"/>
    <w:rsid w:val="7D5E40CD"/>
    <w:rsid w:val="7D8C61A3"/>
    <w:rsid w:val="7DB33770"/>
    <w:rsid w:val="7DCD56F2"/>
    <w:rsid w:val="7DCF725D"/>
    <w:rsid w:val="7E076C3F"/>
    <w:rsid w:val="7E0E0D3E"/>
    <w:rsid w:val="7E150DDC"/>
    <w:rsid w:val="7E1D0A2A"/>
    <w:rsid w:val="7E2B3D8E"/>
    <w:rsid w:val="7E6C7D49"/>
    <w:rsid w:val="7E755FEB"/>
    <w:rsid w:val="7F001CE7"/>
    <w:rsid w:val="7F730652"/>
    <w:rsid w:val="7F877D3D"/>
    <w:rsid w:val="7FE066CF"/>
    <w:rsid w:val="7FE4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2">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0"/>
    <w:semiHidden/>
    <w:qFormat/>
    <w:uiPriority w:val="0"/>
    <w:rPr>
      <w:b/>
      <w:kern w:val="2"/>
    </w:rPr>
  </w:style>
  <w:style w:type="paragraph" w:styleId="6">
    <w:name w:val="annotation text"/>
    <w:basedOn w:val="1"/>
    <w:link w:val="28"/>
    <w:semiHidden/>
    <w:qFormat/>
    <w:uiPriority w:val="0"/>
    <w:pPr>
      <w:jc w:val="left"/>
    </w:pPr>
    <w:rPr>
      <w:kern w:val="0"/>
      <w:sz w:val="24"/>
      <w:szCs w:val="20"/>
    </w:rPr>
  </w:style>
  <w:style w:type="paragraph" w:styleId="7">
    <w:name w:val="Body Text First Indent"/>
    <w:basedOn w:val="8"/>
    <w:qFormat/>
    <w:uiPriority w:val="0"/>
    <w:pPr>
      <w:widowControl w:val="0"/>
      <w:spacing w:after="120"/>
      <w:ind w:firstLine="420" w:firstLineChars="100"/>
    </w:pPr>
    <w:rPr>
      <w:kern w:val="2"/>
      <w:sz w:val="21"/>
      <w:szCs w:val="24"/>
    </w:rPr>
  </w:style>
  <w:style w:type="paragraph" w:styleId="8">
    <w:name w:val="Body Text"/>
    <w:basedOn w:val="1"/>
    <w:link w:val="41"/>
    <w:qFormat/>
    <w:uiPriority w:val="0"/>
    <w:pPr>
      <w:widowControl/>
      <w:snapToGrid w:val="0"/>
      <w:spacing w:before="60" w:after="160" w:line="259" w:lineRule="auto"/>
      <w:ind w:right="113"/>
    </w:pPr>
    <w:rPr>
      <w:kern w:val="0"/>
      <w:sz w:val="18"/>
      <w:szCs w:val="20"/>
    </w:rPr>
  </w:style>
  <w:style w:type="paragraph" w:styleId="9">
    <w:name w:val="Note Heading"/>
    <w:basedOn w:val="1"/>
    <w:next w:val="1"/>
    <w:qFormat/>
    <w:uiPriority w:val="0"/>
    <w:pPr>
      <w:spacing w:line="360" w:lineRule="auto"/>
      <w:jc w:val="center"/>
    </w:pPr>
    <w:rPr>
      <w:sz w:val="24"/>
    </w:rPr>
  </w:style>
  <w:style w:type="paragraph" w:styleId="10">
    <w:name w:val="Normal Indent"/>
    <w:basedOn w:val="1"/>
    <w:qFormat/>
    <w:uiPriority w:val="0"/>
    <w:pPr>
      <w:ind w:firstLine="420"/>
    </w:pPr>
    <w:rPr>
      <w:szCs w:val="20"/>
    </w:rPr>
  </w:style>
  <w:style w:type="paragraph" w:styleId="11">
    <w:name w:val="caption"/>
    <w:basedOn w:val="1"/>
    <w:next w:val="1"/>
    <w:qFormat/>
    <w:uiPriority w:val="0"/>
    <w:pPr>
      <w:keepNext/>
      <w:spacing w:line="360" w:lineRule="auto"/>
      <w:ind w:firstLine="200" w:firstLineChars="200"/>
      <w:jc w:val="center"/>
    </w:pPr>
    <w:rPr>
      <w:rFonts w:ascii="Cambria" w:hAnsi="Cambria" w:eastAsia="黑体"/>
      <w:sz w:val="24"/>
      <w:szCs w:val="20"/>
    </w:rPr>
  </w:style>
  <w:style w:type="paragraph" w:styleId="12">
    <w:name w:val="Document Map"/>
    <w:basedOn w:val="1"/>
    <w:link w:val="30"/>
    <w:qFormat/>
    <w:uiPriority w:val="0"/>
    <w:rPr>
      <w:rFonts w:ascii="宋体"/>
      <w:sz w:val="18"/>
      <w:szCs w:val="18"/>
    </w:rPr>
  </w:style>
  <w:style w:type="paragraph" w:styleId="13">
    <w:name w:val="Body Text Indent"/>
    <w:basedOn w:val="1"/>
    <w:link w:val="38"/>
    <w:qFormat/>
    <w:uiPriority w:val="0"/>
    <w:pPr>
      <w:spacing w:after="120"/>
      <w:ind w:left="420" w:leftChars="200"/>
    </w:pPr>
    <w:rPr>
      <w:kern w:val="0"/>
      <w:sz w:val="24"/>
      <w:szCs w:val="20"/>
    </w:rPr>
  </w:style>
  <w:style w:type="paragraph" w:styleId="14">
    <w:name w:val="Block Text"/>
    <w:basedOn w:val="1"/>
    <w:qFormat/>
    <w:uiPriority w:val="0"/>
    <w:pPr>
      <w:autoSpaceDE w:val="0"/>
      <w:autoSpaceDN w:val="0"/>
      <w:adjustRightInd w:val="0"/>
      <w:spacing w:before="1" w:line="537" w:lineRule="exact"/>
      <w:ind w:left="88" w:right="6"/>
    </w:pPr>
    <w:rPr>
      <w:kern w:val="0"/>
      <w:sz w:val="28"/>
      <w:szCs w:val="20"/>
    </w:rPr>
  </w:style>
  <w:style w:type="paragraph" w:styleId="15">
    <w:name w:val="Plain Text"/>
    <w:basedOn w:val="1"/>
    <w:qFormat/>
    <w:uiPriority w:val="0"/>
    <w:pPr>
      <w:spacing w:line="240" w:lineRule="atLeast"/>
    </w:pPr>
    <w:rPr>
      <w:rFonts w:ascii="宋体" w:hAnsi="Courier New"/>
      <w:sz w:val="28"/>
    </w:rPr>
  </w:style>
  <w:style w:type="paragraph" w:styleId="16">
    <w:name w:val="Date"/>
    <w:basedOn w:val="1"/>
    <w:next w:val="1"/>
    <w:link w:val="32"/>
    <w:qFormat/>
    <w:uiPriority w:val="0"/>
    <w:pPr>
      <w:ind w:left="100" w:leftChars="2500"/>
    </w:pPr>
    <w:rPr>
      <w:kern w:val="0"/>
      <w:sz w:val="24"/>
      <w:szCs w:val="20"/>
    </w:rPr>
  </w:style>
  <w:style w:type="paragraph" w:styleId="17">
    <w:name w:val="Balloon Text"/>
    <w:basedOn w:val="1"/>
    <w:link w:val="29"/>
    <w:semiHidden/>
    <w:qFormat/>
    <w:uiPriority w:val="0"/>
    <w:rPr>
      <w:kern w:val="0"/>
      <w:sz w:val="18"/>
      <w:szCs w:val="20"/>
    </w:rPr>
  </w:style>
  <w:style w:type="paragraph" w:styleId="18">
    <w:name w:val="footer"/>
    <w:basedOn w:val="1"/>
    <w:link w:val="43"/>
    <w:qFormat/>
    <w:uiPriority w:val="99"/>
    <w:pPr>
      <w:tabs>
        <w:tab w:val="center" w:pos="4153"/>
        <w:tab w:val="right" w:pos="8306"/>
      </w:tabs>
      <w:snapToGrid w:val="0"/>
      <w:jc w:val="left"/>
    </w:pPr>
    <w:rPr>
      <w:kern w:val="0"/>
      <w:sz w:val="18"/>
      <w:szCs w:val="20"/>
    </w:rPr>
  </w:style>
  <w:style w:type="paragraph" w:styleId="19">
    <w:name w:val="Body Text First Indent 2"/>
    <w:basedOn w:val="13"/>
    <w:next w:val="1"/>
    <w:qFormat/>
    <w:uiPriority w:val="0"/>
    <w:pPr>
      <w:ind w:firstLine="420" w:firstLineChars="200"/>
    </w:pPr>
    <w:rPr>
      <w:kern w:val="2"/>
    </w:rPr>
  </w:style>
  <w:style w:type="paragraph" w:styleId="20">
    <w:name w:val="header"/>
    <w:basedOn w:val="1"/>
    <w:link w:val="34"/>
    <w:qFormat/>
    <w:uiPriority w:val="0"/>
    <w:pPr>
      <w:pBdr>
        <w:bottom w:val="single" w:color="auto" w:sz="6" w:space="1"/>
      </w:pBdr>
      <w:tabs>
        <w:tab w:val="center" w:pos="4153"/>
        <w:tab w:val="right" w:pos="8306"/>
      </w:tabs>
      <w:snapToGrid w:val="0"/>
      <w:jc w:val="center"/>
    </w:pPr>
    <w:rPr>
      <w:kern w:val="0"/>
      <w:sz w:val="18"/>
      <w:szCs w:val="20"/>
    </w:rPr>
  </w:style>
  <w:style w:type="paragraph" w:styleId="21">
    <w:name w:val="Normal (Web)"/>
    <w:basedOn w:val="1"/>
    <w:link w:val="42"/>
    <w:qFormat/>
    <w:uiPriority w:val="0"/>
    <w:pPr>
      <w:widowControl/>
      <w:spacing w:before="100" w:beforeAutospacing="1" w:after="100" w:afterAutospacing="1"/>
      <w:jc w:val="left"/>
    </w:pPr>
    <w:rPr>
      <w:rFonts w:ascii="宋体" w:hAnsi="宋体"/>
      <w:kern w:val="0"/>
      <w:sz w:val="24"/>
      <w:szCs w:val="20"/>
    </w:r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styleId="25">
    <w:name w:val="annotation reference"/>
    <w:semiHidden/>
    <w:qFormat/>
    <w:uiPriority w:val="0"/>
    <w:rPr>
      <w:sz w:val="21"/>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8">
    <w:name w:val="批注文字 Char"/>
    <w:link w:val="6"/>
    <w:qFormat/>
    <w:uiPriority w:val="0"/>
    <w:rPr>
      <w:rFonts w:ascii="Times New Roman" w:hAnsi="Times New Roman" w:eastAsia="宋体"/>
      <w:sz w:val="24"/>
    </w:rPr>
  </w:style>
  <w:style w:type="character" w:customStyle="1" w:styleId="29">
    <w:name w:val="批注框文本 Char"/>
    <w:link w:val="17"/>
    <w:semiHidden/>
    <w:qFormat/>
    <w:uiPriority w:val="0"/>
    <w:rPr>
      <w:rFonts w:ascii="Times New Roman" w:hAnsi="Times New Roman" w:eastAsia="宋体"/>
      <w:sz w:val="18"/>
    </w:rPr>
  </w:style>
  <w:style w:type="character" w:customStyle="1" w:styleId="30">
    <w:name w:val="文档结构图 Char"/>
    <w:link w:val="12"/>
    <w:qFormat/>
    <w:uiPriority w:val="0"/>
    <w:rPr>
      <w:rFonts w:ascii="宋体"/>
      <w:kern w:val="2"/>
      <w:sz w:val="18"/>
      <w:szCs w:val="18"/>
    </w:rPr>
  </w:style>
  <w:style w:type="character" w:customStyle="1" w:styleId="31">
    <w:name w:val="日期 字符"/>
    <w:semiHidden/>
    <w:qFormat/>
    <w:uiPriority w:val="0"/>
    <w:rPr>
      <w:rFonts w:ascii="Times New Roman" w:hAnsi="Times New Roman" w:eastAsia="宋体"/>
      <w:sz w:val="24"/>
    </w:rPr>
  </w:style>
  <w:style w:type="character" w:customStyle="1" w:styleId="32">
    <w:name w:val="日期 Char"/>
    <w:link w:val="16"/>
    <w:qFormat/>
    <w:uiPriority w:val="0"/>
    <w:rPr>
      <w:rFonts w:ascii="Times New Roman" w:hAnsi="Times New Roman" w:eastAsia="宋体"/>
      <w:sz w:val="24"/>
    </w:rPr>
  </w:style>
  <w:style w:type="character" w:customStyle="1" w:styleId="33">
    <w:name w:val="页脚 字符"/>
    <w:basedOn w:val="22"/>
    <w:qFormat/>
    <w:uiPriority w:val="99"/>
  </w:style>
  <w:style w:type="character" w:customStyle="1" w:styleId="34">
    <w:name w:val="页眉 Char"/>
    <w:link w:val="20"/>
    <w:qFormat/>
    <w:uiPriority w:val="0"/>
    <w:rPr>
      <w:sz w:val="18"/>
    </w:rPr>
  </w:style>
  <w:style w:type="character" w:customStyle="1" w:styleId="35">
    <w:name w:val="表格 Char"/>
    <w:link w:val="36"/>
    <w:qFormat/>
    <w:uiPriority w:val="0"/>
    <w:rPr>
      <w:rFonts w:ascii="宋体"/>
      <w:sz w:val="21"/>
    </w:rPr>
  </w:style>
  <w:style w:type="paragraph" w:customStyle="1" w:styleId="36">
    <w:name w:val="表格"/>
    <w:basedOn w:val="1"/>
    <w:next w:val="1"/>
    <w:link w:val="35"/>
    <w:qFormat/>
    <w:uiPriority w:val="0"/>
    <w:pPr>
      <w:adjustRightInd w:val="0"/>
      <w:snapToGrid w:val="0"/>
      <w:spacing w:beforeLines="10" w:afterLines="10" w:line="259" w:lineRule="auto"/>
      <w:jc w:val="center"/>
    </w:pPr>
    <w:rPr>
      <w:rFonts w:ascii="宋体"/>
      <w:kern w:val="0"/>
      <w:szCs w:val="20"/>
    </w:rPr>
  </w:style>
  <w:style w:type="character" w:customStyle="1" w:styleId="37">
    <w:name w:val="批注文字 字符1"/>
    <w:semiHidden/>
    <w:qFormat/>
    <w:uiPriority w:val="0"/>
    <w:rPr>
      <w:rFonts w:ascii="Times New Roman" w:hAnsi="Times New Roman" w:eastAsia="宋体"/>
      <w:sz w:val="24"/>
    </w:rPr>
  </w:style>
  <w:style w:type="character" w:customStyle="1" w:styleId="38">
    <w:name w:val="正文文本缩进 Char"/>
    <w:link w:val="13"/>
    <w:semiHidden/>
    <w:qFormat/>
    <w:uiPriority w:val="0"/>
    <w:rPr>
      <w:rFonts w:ascii="Times New Roman" w:hAnsi="Times New Roman" w:eastAsia="宋体"/>
      <w:sz w:val="24"/>
    </w:rPr>
  </w:style>
  <w:style w:type="character" w:customStyle="1" w:styleId="39">
    <w:name w:val="正文文本 字符1"/>
    <w:semiHidden/>
    <w:qFormat/>
    <w:uiPriority w:val="0"/>
    <w:rPr>
      <w:rFonts w:ascii="Times New Roman" w:hAnsi="Times New Roman" w:eastAsia="宋体"/>
      <w:sz w:val="24"/>
    </w:rPr>
  </w:style>
  <w:style w:type="character" w:customStyle="1" w:styleId="40">
    <w:name w:val="批注主题 Char"/>
    <w:link w:val="5"/>
    <w:semiHidden/>
    <w:qFormat/>
    <w:uiPriority w:val="0"/>
    <w:rPr>
      <w:rFonts w:ascii="Times New Roman" w:hAnsi="Times New Roman" w:eastAsia="宋体"/>
      <w:b/>
      <w:kern w:val="2"/>
      <w:sz w:val="24"/>
    </w:rPr>
  </w:style>
  <w:style w:type="character" w:customStyle="1" w:styleId="41">
    <w:name w:val="正文文本 Char"/>
    <w:link w:val="8"/>
    <w:qFormat/>
    <w:uiPriority w:val="0"/>
    <w:rPr>
      <w:sz w:val="18"/>
    </w:rPr>
  </w:style>
  <w:style w:type="character" w:customStyle="1" w:styleId="42">
    <w:name w:val="普通(网站) Char"/>
    <w:link w:val="21"/>
    <w:qFormat/>
    <w:uiPriority w:val="0"/>
    <w:rPr>
      <w:rFonts w:ascii="宋体" w:hAnsi="宋体" w:eastAsia="宋体"/>
      <w:sz w:val="24"/>
    </w:rPr>
  </w:style>
  <w:style w:type="character" w:customStyle="1" w:styleId="43">
    <w:name w:val="页脚 Char"/>
    <w:link w:val="18"/>
    <w:qFormat/>
    <w:uiPriority w:val="99"/>
    <w:rPr>
      <w:sz w:val="18"/>
    </w:rPr>
  </w:style>
  <w:style w:type="paragraph" w:customStyle="1" w:styleId="44">
    <w:name w:val="图表"/>
    <w:basedOn w:val="1"/>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paragraph" w:customStyle="1" w:styleId="45">
    <w:name w:val="样式 表中文字 +"/>
    <w:basedOn w:val="1"/>
    <w:qFormat/>
    <w:uiPriority w:val="0"/>
    <w:pPr>
      <w:adjustRightInd w:val="0"/>
      <w:snapToGrid w:val="0"/>
      <w:spacing w:line="0" w:lineRule="atLeast"/>
      <w:jc w:val="center"/>
    </w:pPr>
    <w:rPr>
      <w:rFonts w:hAnsi="宋体"/>
      <w:bCs/>
      <w:color w:val="000000"/>
      <w:kern w:val="0"/>
      <w:szCs w:val="21"/>
    </w:rPr>
  </w:style>
  <w:style w:type="paragraph" w:customStyle="1" w:styleId="46">
    <w:name w:val="表格内容"/>
    <w:basedOn w:val="1"/>
    <w:qFormat/>
    <w:uiPriority w:val="0"/>
    <w:pPr>
      <w:spacing w:line="288" w:lineRule="auto"/>
      <w:jc w:val="center"/>
    </w:pPr>
  </w:style>
  <w:style w:type="paragraph" w:customStyle="1" w:styleId="47">
    <w:name w:val="样式2"/>
    <w:basedOn w:val="1"/>
    <w:next w:val="8"/>
    <w:unhideWhenUsed/>
    <w:qFormat/>
    <w:uiPriority w:val="0"/>
    <w:pPr>
      <w:spacing w:line="520" w:lineRule="exact"/>
      <w:ind w:firstLine="480" w:firstLineChars="200"/>
    </w:pPr>
    <w:rPr>
      <w:rFonts w:hint="eastAsia"/>
      <w:sz w:val="24"/>
    </w:rPr>
  </w:style>
  <w:style w:type="paragraph" w:customStyle="1" w:styleId="48">
    <w:name w:val="表内 定"/>
    <w:basedOn w:val="1"/>
    <w:qFormat/>
    <w:uiPriority w:val="0"/>
    <w:pPr>
      <w:snapToGrid w:val="0"/>
      <w:jc w:val="left"/>
    </w:pPr>
    <w:rPr>
      <w:rFonts w:eastAsia="仿宋"/>
      <w:color w:val="000000"/>
      <w:kern w:val="0"/>
      <w:sz w:val="20"/>
      <w:szCs w:val="22"/>
    </w:rPr>
  </w:style>
  <w:style w:type="paragraph" w:customStyle="1" w:styleId="49">
    <w:name w:val="00"/>
    <w:basedOn w:val="1"/>
    <w:qFormat/>
    <w:uiPriority w:val="0"/>
    <w:pPr>
      <w:spacing w:line="520" w:lineRule="exact"/>
      <w:ind w:firstLine="200" w:firstLineChars="200"/>
    </w:pPr>
    <w:rPr>
      <w:rFonts w:ascii="宋体" w:hAnsi="宋体"/>
      <w:sz w:val="24"/>
      <w:szCs w:val="20"/>
    </w:rPr>
  </w:style>
  <w:style w:type="paragraph" w:customStyle="1" w:styleId="50">
    <w:name w:val="p0"/>
    <w:basedOn w:val="1"/>
    <w:qFormat/>
    <w:uiPriority w:val="0"/>
    <w:pPr>
      <w:widowControl/>
    </w:pPr>
    <w:rPr>
      <w:kern w:val="0"/>
      <w:szCs w:val="21"/>
    </w:rPr>
  </w:style>
  <w:style w:type="paragraph" w:customStyle="1" w:styleId="51">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2">
    <w:name w:val="报告正文"/>
    <w:basedOn w:val="1"/>
    <w:qFormat/>
    <w:uiPriority w:val="0"/>
    <w:pPr>
      <w:spacing w:line="480" w:lineRule="exact"/>
      <w:ind w:firstLine="200" w:firstLineChars="200"/>
    </w:pPr>
    <w:rPr>
      <w:color w:val="000000"/>
      <w:sz w:val="24"/>
    </w:rPr>
  </w:style>
  <w:style w:type="paragraph" w:customStyle="1" w:styleId="53">
    <w:name w:val="正文文本缩进 31"/>
    <w:basedOn w:val="1"/>
    <w:qFormat/>
    <w:uiPriority w:val="0"/>
    <w:pPr>
      <w:spacing w:line="500" w:lineRule="atLeast"/>
      <w:ind w:left="-105" w:firstLine="585"/>
    </w:pPr>
    <w:rPr>
      <w:rFonts w:ascii="宋体"/>
      <w:sz w:val="24"/>
      <w:szCs w:val="20"/>
    </w:rPr>
  </w:style>
  <w:style w:type="paragraph" w:customStyle="1" w:styleId="54">
    <w:name w:val="样式1"/>
    <w:basedOn w:val="2"/>
    <w:next w:val="8"/>
    <w:unhideWhenUsed/>
    <w:qFormat/>
    <w:uiPriority w:val="0"/>
    <w:pPr>
      <w:spacing w:before="240" w:after="240" w:line="520" w:lineRule="exact"/>
    </w:pPr>
    <w:rPr>
      <w:rFonts w:hint="eastAsia"/>
      <w:sz w:val="28"/>
    </w:rPr>
  </w:style>
  <w:style w:type="paragraph" w:customStyle="1" w:styleId="55">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56">
    <w:name w:val="3级标题"/>
    <w:basedOn w:val="1"/>
    <w:qFormat/>
    <w:uiPriority w:val="0"/>
    <w:pPr>
      <w:spacing w:line="500" w:lineRule="exact"/>
      <w:outlineLvl w:val="2"/>
    </w:pPr>
    <w:rPr>
      <w:rFonts w:ascii="楷体_GB2312" w:eastAsia="楷体_GB2312"/>
      <w:sz w:val="28"/>
    </w:rPr>
  </w:style>
  <w:style w:type="paragraph" w:customStyle="1" w:styleId="57">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lang w:val="en-US" w:eastAsia="zh-CN" w:bidi="ar-SA"/>
    </w:rPr>
  </w:style>
  <w:style w:type="paragraph" w:customStyle="1" w:styleId="58">
    <w:name w:val="表头"/>
    <w:basedOn w:val="1"/>
    <w:next w:val="1"/>
    <w:qFormat/>
    <w:uiPriority w:val="0"/>
    <w:pPr>
      <w:jc w:val="center"/>
    </w:pPr>
    <w:rPr>
      <w:b/>
    </w:rPr>
  </w:style>
  <w:style w:type="paragraph" w:customStyle="1" w:styleId="59">
    <w:name w:val="新格式表"/>
    <w:basedOn w:val="1"/>
    <w:qFormat/>
    <w:uiPriority w:val="0"/>
    <w:pPr>
      <w:adjustRightInd w:val="0"/>
      <w:snapToGrid w:val="0"/>
      <w:spacing w:line="0" w:lineRule="atLeast"/>
      <w:jc w:val="center"/>
    </w:pPr>
    <w:rPr>
      <w:kern w:val="0"/>
      <w:szCs w:val="21"/>
    </w:rPr>
  </w:style>
  <w:style w:type="paragraph" w:customStyle="1" w:styleId="60">
    <w:name w:val="报告书"/>
    <w:basedOn w:val="1"/>
    <w:qFormat/>
    <w:uiPriority w:val="0"/>
    <w:pPr>
      <w:adjustRightInd w:val="0"/>
      <w:snapToGrid w:val="0"/>
      <w:spacing w:line="440" w:lineRule="atLeast"/>
      <w:ind w:firstLine="482"/>
      <w:textAlignment w:val="baseline"/>
    </w:pPr>
    <w:rPr>
      <w:rFonts w:ascii="宋体"/>
      <w:kern w:val="24"/>
      <w:sz w:val="24"/>
      <w:szCs w:val="20"/>
    </w:rPr>
  </w:style>
  <w:style w:type="paragraph" w:customStyle="1" w:styleId="61">
    <w:name w:val="正文标题"/>
    <w:qFormat/>
    <w:uiPriority w:val="0"/>
    <w:pPr>
      <w:spacing w:line="480" w:lineRule="exact"/>
      <w:jc w:val="both"/>
    </w:pPr>
    <w:rPr>
      <w:rFonts w:ascii="Times New Roman" w:hAnsi="Times New Roman" w:eastAsia="黑体" w:cs="Times New Roman"/>
      <w:kern w:val="2"/>
      <w:sz w:val="24"/>
      <w:lang w:val="en-US" w:eastAsia="zh-CN" w:bidi="ar-SA"/>
    </w:rPr>
  </w:style>
  <w:style w:type="paragraph" w:customStyle="1" w:styleId="62">
    <w:name w:val="p16"/>
    <w:basedOn w:val="1"/>
    <w:qFormat/>
    <w:uiPriority w:val="0"/>
    <w:pPr>
      <w:widowControl/>
      <w:spacing w:after="120"/>
    </w:pPr>
    <w:rPr>
      <w:kern w:val="0"/>
      <w:szCs w:val="21"/>
    </w:rPr>
  </w:style>
  <w:style w:type="paragraph" w:customStyle="1" w:styleId="63">
    <w:name w:val="Table Paragraph"/>
    <w:basedOn w:val="1"/>
    <w:qFormat/>
    <w:uiPriority w:val="1"/>
    <w:pPr>
      <w:autoSpaceDE w:val="0"/>
      <w:autoSpaceDN w:val="0"/>
      <w:adjustRightInd w:val="0"/>
      <w:jc w:val="left"/>
    </w:pPr>
    <w:rPr>
      <w:kern w:val="0"/>
      <w:sz w:val="24"/>
    </w:rPr>
  </w:style>
  <w:style w:type="character" w:customStyle="1" w:styleId="64">
    <w:name w:val="占位符文本1"/>
    <w:basedOn w:val="22"/>
    <w:unhideWhenUsed/>
    <w:qFormat/>
    <w:uiPriority w:val="99"/>
    <w:rPr>
      <w:color w:val="808080"/>
    </w:rPr>
  </w:style>
  <w:style w:type="paragraph" w:customStyle="1" w:styleId="65">
    <w:name w:val="样式3"/>
    <w:basedOn w:val="47"/>
    <w:unhideWhenUsed/>
    <w:qFormat/>
    <w:uiPriority w:val="0"/>
    <w:pPr>
      <w:spacing w:after="50" w:afterLines="50"/>
      <w:ind w:firstLine="0" w:firstLineChars="0"/>
      <w:outlineLvl w:val="1"/>
    </w:pPr>
    <w:rPr>
      <w:rFonts w:hint="eastAsia"/>
      <w:b/>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wmf"/><Relationship Id="rId15" Type="http://schemas.openxmlformats.org/officeDocument/2006/relationships/oleObject" Target="embeddings/oleObject5.bin"/><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0F582C-ADAC-4217-B4DC-6EEEBB7B63BF}">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58</Pages>
  <Words>6140</Words>
  <Characters>35000</Characters>
  <Lines>291</Lines>
  <Paragraphs>82</Paragraphs>
  <TotalTime>39</TotalTime>
  <ScaleCrop>false</ScaleCrop>
  <LinksUpToDate>false</LinksUpToDate>
  <CharactersWithSpaces>41058</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2021-07-29T07:22:00Z</dcterms:created>
  <dc:creator>lhj</dc:creator>
  <cp:lastModifiedBy>Administrator</cp:lastModifiedBy>
  <cp:lastPrinted>2021-08-30T02:11:00Z</cp:lastPrinted>
  <dcterms:modified xsi:type="dcterms:W3CDTF">2021-09-01T07:05:51Z</dcterms:modified>
  <dc:title>附件2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